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版本号：240605001</w:t>
      </w:r>
    </w:p>
    <w:p>
      <w:pPr>
        <w:pStyle w:val="null3"/>
        <w:jc w:val="left"/>
        <w:outlineLvl w:val="0"/>
      </w:pPr>
      <w:r>
        <w:rPr>
          <w:b/>
          <w:sz w:val="48"/>
        </w:rPr>
        <w:t>招 标 文 件</w:t>
      </w:r>
    </w:p>
    <w:p>
      <w:pPr>
        <w:pStyle w:val="null3"/>
        <w:jc w:val="center"/>
        <w:outlineLvl w:val="0"/>
      </w:pPr>
      <w:r>
        <w:rPr>
          <w:b/>
          <w:sz w:val="48"/>
        </w:rPr>
        <w:t>（货物类）</w:t>
      </w:r>
    </w:p>
    <w:p>
      <w:pPr>
        <w:pStyle w:val="null3"/>
        <w:jc w:val="left"/>
        <w:outlineLvl w:val="2"/>
      </w:pPr>
      <w:r>
        <w:rPr>
          <w:b/>
          <w:sz w:val="28"/>
        </w:rPr>
        <w:t>采购项目名称：</w:t>
      </w:r>
      <w:r>
        <w:rPr>
          <w:b/>
          <w:sz w:val="28"/>
        </w:rPr>
        <w:t>医疗设备采购项目</w:t>
      </w:r>
    </w:p>
    <w:p>
      <w:pPr>
        <w:pStyle w:val="null3"/>
        <w:jc w:val="center"/>
        <w:outlineLvl w:val="2"/>
      </w:pPr>
      <w:r>
        <w:rPr>
          <w:b/>
          <w:sz w:val="28"/>
        </w:rPr>
        <w:t>采购项目编号：</w:t>
      </w:r>
      <w:r>
        <w:rPr>
          <w:b/>
          <w:sz w:val="28"/>
        </w:rPr>
        <w:t>N5101012024000800</w:t>
      </w:r>
    </w:p>
    <w:p>
      <w:pPr>
        <w:pStyle w:val="null3"/>
        <w:jc w:val="left"/>
        <w:outlineLvl w:val="2"/>
      </w:pPr>
      <w:r>
        <w:rPr>
          <w:b/>
          <w:sz w:val="28"/>
        </w:rPr>
        <w:t>成都市第八人民医院（成都市慢性病医院、成都市老年服务示训中心）</w:t>
      </w:r>
    </w:p>
    <w:p>
      <w:pPr>
        <w:pStyle w:val="null3"/>
        <w:jc w:val="center"/>
        <w:outlineLvl w:val="2"/>
      </w:pPr>
      <w:r>
        <w:rPr>
          <w:b/>
          <w:sz w:val="28"/>
        </w:rPr>
        <w:t>四川至诚至达工程咨询有限公司</w:t>
      </w:r>
      <w:r>
        <w:rPr>
          <w:b/>
          <w:sz w:val="28"/>
        </w:rPr>
        <w:t>共同编制</w:t>
      </w:r>
    </w:p>
    <w:p>
      <w:pPr>
        <w:pStyle w:val="null3"/>
        <w:jc w:val="center"/>
      </w:pPr>
      <w:r>
        <w:rPr/>
        <w:t>2024年06月05日</w:t>
      </w:r>
    </w:p>
    <w:p>
      <w:pPr>
        <w:pStyle w:val="null3"/>
      </w:pPr>
      <w:r>
        <w:rPr/>
        <w:t xml:space="preserve"> </w:t>
        <w:br/>
        <w:br w:type="page"/>
      </w:r>
    </w:p>
    <w:p>
      <w:pPr>
        <w:pStyle w:val="null3"/>
        <w:jc w:val="center"/>
        <w:outlineLvl w:val="1"/>
      </w:pPr>
      <w:r>
        <w:rPr>
          <w:b/>
          <w:sz w:val="36"/>
        </w:rPr>
        <w:t>第一章 投标邀请</w:t>
      </w:r>
    </w:p>
    <w:p>
      <w:pPr>
        <w:pStyle w:val="null3"/>
        <w:ind w:firstLine="480"/>
        <w:jc w:val="left"/>
      </w:pPr>
      <w:r>
        <w:rPr/>
        <w:t>四川至诚至达工程咨询有限公司</w:t>
      </w:r>
      <w:r>
        <w:rPr/>
        <w:t xml:space="preserve"> （以下简称“代理机构”）受 </w:t>
      </w:r>
      <w:r>
        <w:rPr/>
        <w:t>成都市第八人民医院（成都市慢性病医院、成都市老年服务示训中心）</w:t>
      </w:r>
      <w:r>
        <w:rPr/>
        <w:t xml:space="preserve"> 委托，拟对 </w:t>
      </w:r>
      <w:r>
        <w:rPr/>
        <w:t>医疗设备采购项目</w:t>
      </w:r>
      <w:r>
        <w:rPr/>
        <w:t xml:space="preserve"> 采用公开招标方式进行采购，兹邀请符合本次招标要求的供应商参加投标。本项目为四川省</w:t>
      </w:r>
      <w:r>
        <w:rPr/>
        <w:t>成都市市本级</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N5101012024000800</w:t>
      </w:r>
    </w:p>
    <w:p>
      <w:pPr>
        <w:pStyle w:val="null3"/>
        <w:jc w:val="left"/>
        <w:outlineLvl w:val="2"/>
      </w:pPr>
      <w:r>
        <w:rPr>
          <w:b/>
          <w:sz w:val="28"/>
        </w:rPr>
        <w:t>1.2.采购项目名称</w:t>
      </w:r>
      <w:r>
        <w:rPr>
          <w:b/>
          <w:sz w:val="28"/>
        </w:rPr>
        <w:t xml:space="preserve">： </w:t>
      </w:r>
      <w:r>
        <w:rPr>
          <w:b/>
          <w:sz w:val="28"/>
        </w:rPr>
        <w:t>医疗设备采购项目</w:t>
      </w:r>
    </w:p>
    <w:p>
      <w:pPr>
        <w:pStyle w:val="null3"/>
        <w:jc w:val="left"/>
        <w:outlineLvl w:val="2"/>
      </w:pPr>
      <w:r>
        <w:rPr>
          <w:b/>
          <w:sz w:val="28"/>
        </w:rPr>
        <w:t>1.3.招标项目简介</w:t>
      </w:r>
    </w:p>
    <w:p>
      <w:pPr>
        <w:pStyle w:val="null3"/>
        <w:ind w:firstLine="480"/>
        <w:jc w:val="left"/>
      </w:pPr>
      <w:r>
        <w:rPr/>
        <w:t>本项目为成都市第八人民医院医疗设备采购项目,分为两个包，第1包最高限价：114.4万元；第2包最高限价：36万元。</w:t>
      </w:r>
    </w:p>
    <w:p>
      <w:pPr>
        <w:pStyle w:val="null3"/>
        <w:jc w:val="left"/>
        <w:outlineLvl w:val="2"/>
      </w:pPr>
      <w:r>
        <w:rPr>
          <w:b/>
          <w:sz w:val="28"/>
        </w:rPr>
        <w:t>1.4.邀请供应商方式</w:t>
      </w:r>
    </w:p>
    <w:p>
      <w:pPr>
        <w:pStyle w:val="null3"/>
        <w:ind w:firstLine="480"/>
        <w:jc w:val="left"/>
      </w:pPr>
      <w:r>
        <w:rPr/>
        <w:t>本项目以招标公告的方式邀请供应商参加投标，招标公告在四川政府采购网（www.ccgp-sichuan.gov.cn）发布。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采购包1：不专门面向中小企业采购。</w:t>
      </w:r>
    </w:p>
    <w:p>
      <w:pPr>
        <w:pStyle w:val="null3"/>
        <w:jc w:val="left"/>
      </w:pPr>
      <w:r>
        <w:rPr/>
        <w:t>采购包2：不专门面向中小企业采购。</w:t>
      </w:r>
    </w:p>
    <w:p>
      <w:pPr>
        <w:pStyle w:val="null3"/>
        <w:ind w:firstLine="480"/>
        <w:jc w:val="left"/>
      </w:pPr>
      <w:r>
        <w:rPr/>
        <w:t>三、本项目的特定资格要求：</w:t>
      </w:r>
    </w:p>
    <w:p>
      <w:pPr>
        <w:pStyle w:val="null3"/>
        <w:ind w:firstLine="480"/>
        <w:jc w:val="left"/>
      </w:pPr>
      <w:r>
        <w:rPr/>
        <w:t>采购包1：</w:t>
      </w:r>
    </w:p>
    <w:p>
      <w:pPr>
        <w:pStyle w:val="null3"/>
        <w:jc w:val="left"/>
      </w:pPr>
      <w:r>
        <w:rPr/>
        <w:t>1、供应商为生产厂家应具有符合《医疗器械监督管理条例》等政策法规要求的中华人民共和国医疗器械生产许可证；供应商为非生产厂家应具有符合《医疗器械监督管理条例》等政策法规要求的中华人民共和国医疗器械经营许可证或有效备案表，并提供产品生产厂家的中华人民共和国医疗器械生产许可证。（仅限医疗器械适用）。 （描述：供应商为生产厂家应具有符合《医疗器械监督管理条例》等政策法规要求的中华人民共和国医疗器械生产许可证；供应商为非生产厂家应具有符合《医疗器械监督管理条例》等政策法规要求的中华人民共和国医疗器械经营许可证或有效备案表，并提供产品生产厂家的中华人民共和国医疗器械生产许可证。（仅限医疗器械适用）。提供证书复印件。）</w:t>
      </w:r>
    </w:p>
    <w:p>
      <w:pPr>
        <w:pStyle w:val="null3"/>
        <w:jc w:val="left"/>
      </w:pPr>
      <w:r>
        <w:rPr/>
        <w:t>2、投标产品需具有符合《医疗器械注册管理办法》等政策法规要求的中华人民共和国医疗器械注册或备案凭证。（仅限医疗器械适用）。（描述：投标产品需具有符合《医疗器械注册管理办法》等政策法规要求的中华人民共和国医疗器械注册或备案凭证。（仅限医疗器械适用），提供证书复印件。）</w:t>
      </w:r>
    </w:p>
    <w:p>
      <w:pPr>
        <w:pStyle w:val="null3"/>
        <w:jc w:val="left"/>
      </w:pPr>
      <w:r>
        <w:rPr/>
        <w:t>采购包2：</w:t>
      </w:r>
    </w:p>
    <w:p>
      <w:pPr>
        <w:pStyle w:val="null3"/>
        <w:jc w:val="left"/>
      </w:pPr>
      <w:r>
        <w:rPr/>
        <w:t>1、供应商为生产厂家应具有符合《医疗器械监督管理条例》等政策法规要求的中华人民共和国医疗器械生产许可证；供应商为非生产厂家应具有符合《医疗器械监督管理条例》等政策法规要求的中华人民共和国医疗器械经营许可证或有效备案表，并提供产品生产厂家的中华人民共和国医疗器械生产许可证。（仅限医疗器械适用）。（描述：供应商为生产厂家应具有符合《医疗器械监督管理条例》等政策法规要求的中华人民共和国医疗器械生产许可证；供应商为非生产厂家应具有符合《医疗器械监督管理条例》等政策法规要求的中华人民共和国医疗器械经营许可证或有效备案表，并提供产品生产厂家的中华人民共和国医疗器械生产许可证。（仅限医疗器械适用），提供证书复印件。）</w:t>
      </w:r>
    </w:p>
    <w:p>
      <w:pPr>
        <w:pStyle w:val="null3"/>
        <w:jc w:val="left"/>
      </w:pPr>
      <w:r>
        <w:rPr/>
        <w:t>2、投标产品需具有符合《医疗器械注册管理办法》等政策法规要求的中华人民共和国医疗器械注册或备案凭证。（仅限医疗器械适用）。（描述：投标产品需具有符合《医疗器械注册管理办法》等政策法规要求的中华人民共和国医疗器械注册或备案凭证。（仅限医疗器械适用），提供证书复印件。）</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CA及签章服务电话：通过四川政府采购网-办事指南进行查询</w:t>
      </w:r>
    </w:p>
    <w:p>
      <w:pPr>
        <w:pStyle w:val="null3"/>
        <w:jc w:val="left"/>
        <w:outlineLvl w:val="2"/>
      </w:pPr>
      <w:r>
        <w:rPr>
          <w:b/>
          <w:sz w:val="28"/>
        </w:rPr>
        <w:t>1.7.招标文件获取时间、方式及地址</w:t>
      </w:r>
    </w:p>
    <w:p>
      <w:pPr>
        <w:pStyle w:val="null3"/>
        <w:ind w:firstLine="480"/>
        <w:jc w:val="left"/>
      </w:pPr>
      <w:r>
        <w:rPr/>
        <w:t xml:space="preserve">一、招标文件获取时间： </w:t>
      </w:r>
      <w:r>
        <w:rPr/>
        <w:t>详见采购公告</w:t>
      </w:r>
      <w:r>
        <w:rPr/>
        <w:t>。</w:t>
      </w:r>
    </w:p>
    <w:p>
      <w:pPr>
        <w:pStyle w:val="null3"/>
        <w:ind w:firstLine="480"/>
        <w:jc w:val="left"/>
      </w:pPr>
      <w:r>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t>注：获取的招标文件由正文和附件组成，正文部分包括pdf、word两种格式版本，如内容有不一致的，以pdf格式内容为准。</w:t>
      </w:r>
    </w:p>
    <w:p>
      <w:pPr>
        <w:pStyle w:val="null3"/>
        <w:jc w:val="left"/>
        <w:outlineLvl w:val="2"/>
      </w:pPr>
      <w:r>
        <w:rPr>
          <w:b/>
          <w:sz w:val="28"/>
        </w:rPr>
        <w:t>1.8.投标截止时间及开标时间、方式、地点</w:t>
      </w:r>
    </w:p>
    <w:p>
      <w:pPr>
        <w:pStyle w:val="null3"/>
        <w:ind w:firstLine="480"/>
        <w:jc w:val="left"/>
      </w:pPr>
      <w:r>
        <w:rPr/>
        <w:t xml:space="preserve">一、投标截止时间及开标时间： </w:t>
      </w:r>
      <w:r>
        <w:rPr/>
        <w:t>详见采购公告</w:t>
      </w:r>
      <w:r>
        <w:rPr/>
        <w:t>。</w:t>
      </w:r>
    </w:p>
    <w:p>
      <w:pPr>
        <w:pStyle w:val="null3"/>
        <w:ind w:firstLine="480"/>
        <w:jc w:val="left"/>
      </w:pPr>
      <w:r>
        <w:rPr/>
        <w:t>二、投标人应当在投标截止时间前，通过交易系统提交投标文件。成功提交的，投标人将收到已提交投标文件的回执单。</w:t>
      </w:r>
    </w:p>
    <w:p>
      <w:pPr>
        <w:pStyle w:val="null3"/>
        <w:ind w:firstLine="480"/>
        <w:jc w:val="left"/>
      </w:pPr>
      <w:r>
        <w:rPr/>
        <w:t>三、本项目采取网上开标，采购人或者代理机构通过交易系统“开标/开启大厅”组织在线开标。</w:t>
      </w:r>
    </w:p>
    <w:p>
      <w:pPr>
        <w:pStyle w:val="null3"/>
        <w:jc w:val="left"/>
        <w:outlineLvl w:val="2"/>
      </w:pPr>
      <w:r>
        <w:rPr>
          <w:b/>
          <w:sz w:val="28"/>
        </w:rPr>
        <w:t>1.9.供应商信用融资</w:t>
      </w:r>
    </w:p>
    <w:p>
      <w:pPr>
        <w:pStyle w:val="null3"/>
        <w:ind w:firstLine="480"/>
        <w:jc w:val="left"/>
      </w:pPr>
      <w:r>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b/>
          <w:sz w:val="28"/>
        </w:rPr>
        <w:t>1.10.联系方式</w:t>
      </w:r>
    </w:p>
    <w:p>
      <w:pPr>
        <w:pStyle w:val="null3"/>
        <w:jc w:val="left"/>
      </w:pPr>
      <w:r>
        <w:rPr>
          <w:b/>
        </w:rPr>
        <w:t>采购人</w:t>
      </w:r>
      <w:r>
        <w:rPr>
          <w:b/>
        </w:rPr>
        <w:t xml:space="preserve">： </w:t>
      </w:r>
      <w:r>
        <w:rPr>
          <w:b/>
        </w:rPr>
        <w:t>成都市第八人民医院（成都市慢性病医院、成都市老年服务示训中心）</w:t>
      </w:r>
    </w:p>
    <w:p>
      <w:pPr>
        <w:pStyle w:val="null3"/>
        <w:jc w:val="left"/>
      </w:pPr>
      <w:r>
        <w:rPr/>
        <w:t xml:space="preserve"> 地址： </w:t>
      </w:r>
      <w:r>
        <w:rPr/>
        <w:t>成都市金牛区蓉都大道1120号</w:t>
      </w:r>
    </w:p>
    <w:p>
      <w:pPr>
        <w:pStyle w:val="null3"/>
        <w:jc w:val="left"/>
      </w:pPr>
      <w:r>
        <w:rPr/>
        <w:t xml:space="preserve"> 邮编： </w:t>
      </w:r>
      <w:r>
        <w:rPr/>
        <w:t>610000</w:t>
      </w:r>
    </w:p>
    <w:p>
      <w:pPr>
        <w:pStyle w:val="null3"/>
        <w:jc w:val="left"/>
      </w:pPr>
      <w:r>
        <w:rPr/>
        <w:t xml:space="preserve"> 联系人： </w:t>
      </w:r>
      <w:r>
        <w:rPr/>
        <w:t>吉老师</w:t>
      </w:r>
    </w:p>
    <w:p>
      <w:pPr>
        <w:pStyle w:val="null3"/>
        <w:jc w:val="left"/>
      </w:pPr>
      <w:r>
        <w:rPr/>
        <w:t xml:space="preserve"> 联系电话： </w:t>
      </w:r>
      <w:r>
        <w:rPr/>
        <w:t>028-68705042</w:t>
      </w:r>
    </w:p>
    <w:p>
      <w:pPr>
        <w:pStyle w:val="null3"/>
        <w:jc w:val="left"/>
      </w:pPr>
      <w:r>
        <w:rPr>
          <w:b/>
        </w:rPr>
        <w:t>代理机构</w:t>
      </w:r>
      <w:r>
        <w:rPr>
          <w:b/>
        </w:rPr>
        <w:t xml:space="preserve">： </w:t>
      </w:r>
      <w:r>
        <w:rPr>
          <w:b/>
        </w:rPr>
        <w:t>四川至诚至达工程咨询有限公司</w:t>
      </w:r>
    </w:p>
    <w:p>
      <w:pPr>
        <w:pStyle w:val="null3"/>
        <w:jc w:val="left"/>
      </w:pPr>
      <w:r>
        <w:rPr/>
        <w:t xml:space="preserve"> 地址： </w:t>
      </w:r>
      <w:r>
        <w:rPr/>
        <w:t>成都市高新区盛和一路新南中心写字楼10F</w:t>
      </w:r>
    </w:p>
    <w:p>
      <w:pPr>
        <w:pStyle w:val="null3"/>
        <w:jc w:val="left"/>
      </w:pPr>
      <w:r>
        <w:rPr/>
        <w:t xml:space="preserve"> 邮编： </w:t>
      </w:r>
      <w:r>
        <w:rPr/>
        <w:t>610011</w:t>
      </w:r>
    </w:p>
    <w:p>
      <w:pPr>
        <w:pStyle w:val="null3"/>
        <w:jc w:val="left"/>
      </w:pPr>
      <w:r>
        <w:rPr/>
        <w:t xml:space="preserve"> 联系人： </w:t>
      </w:r>
      <w:r>
        <w:rPr/>
        <w:t>张经理</w:t>
      </w:r>
    </w:p>
    <w:p>
      <w:pPr>
        <w:pStyle w:val="null3"/>
        <w:jc w:val="left"/>
      </w:pPr>
      <w:r>
        <w:rPr/>
        <w:t xml:space="preserve"> 联系电话： </w:t>
      </w:r>
      <w:r>
        <w:rPr/>
        <w:t>028-86051967</w:t>
      </w:r>
    </w:p>
    <w:p>
      <w:pPr>
        <w:pStyle w:val="null3"/>
      </w:pPr>
      <w:r>
        <w:rPr/>
        <w:t xml:space="preserve"> </w:t>
        <w:br/>
        <w:br w:type="page"/>
      </w:r>
    </w:p>
    <w:p>
      <w:pPr>
        <w:pStyle w:val="null3"/>
        <w:jc w:val="center"/>
        <w:outlineLvl w:val="1"/>
      </w:pPr>
      <w:r>
        <w:rPr>
          <w:b/>
          <w:sz w:val="36"/>
        </w:rPr>
        <w:t>第二章 投标人须知</w:t>
      </w:r>
    </w:p>
    <w:p>
      <w:pPr>
        <w:pStyle w:val="null3"/>
        <w:jc w:val="left"/>
        <w:outlineLvl w:val="2"/>
      </w:pPr>
      <w:r>
        <w:rPr>
          <w:b/>
          <w:sz w:val="28"/>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采购包1：1,144,000.00元</w:t>
            </w:r>
          </w:p>
          <w:p>
            <w:pPr>
              <w:pStyle w:val="null3"/>
              <w:jc w:val="left"/>
            </w:pPr>
            <w:r>
              <w:rPr/>
              <w:t>采购包2：360,000.00元</w:t>
            </w:r>
          </w:p>
          <w:p>
            <w:pPr>
              <w:pStyle w:val="null3"/>
              <w:jc w:val="left"/>
            </w:pPr>
            <w:r>
              <w:rPr/>
              <w:t>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t>2.</w:t>
            </w:r>
          </w:p>
        </w:tc>
        <w:tc>
          <w:tcPr>
            <w:tcW w:type="dxa" w:w="2252"/>
          </w:tcPr>
          <w:p>
            <w:pPr>
              <w:pStyle w:val="null3"/>
              <w:jc w:val="left"/>
            </w:pPr>
            <w:r>
              <w:rPr/>
              <w:t>评标方法</w:t>
            </w:r>
          </w:p>
        </w:tc>
        <w:tc>
          <w:tcPr>
            <w:tcW w:type="dxa" w:w="5004"/>
          </w:tcPr>
          <w:p>
            <w:pPr>
              <w:pStyle w:val="null3"/>
              <w:jc w:val="left"/>
            </w:pPr>
            <w:r>
              <w:rPr/>
              <w:t>采购包1：综合评分法</w:t>
            </w:r>
          </w:p>
          <w:p>
            <w:pPr>
              <w:pStyle w:val="null3"/>
              <w:jc w:val="left"/>
            </w:pPr>
            <w:r>
              <w:rPr/>
              <w:t>采购包2：综合评分法</w:t>
            </w:r>
            <w:r>
              <w:rPr/>
              <w:t xml:space="preserve"> （具体规则详见第五章）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采购包2：不接受联合体</w:t>
            </w:r>
          </w:p>
          <w:p>
            <w:pPr>
              <w:pStyle w:val="null3"/>
              <w:jc w:val="left"/>
            </w:pPr>
            <w:r>
              <w:rPr/>
              <w:t>如接受联合体，需符合以下要求：</w:t>
            </w:r>
          </w:p>
          <w:p>
            <w:pPr>
              <w:pStyle w:val="null3"/>
              <w:jc w:val="left"/>
            </w:pPr>
            <w:r>
              <w:rPr/>
              <w:t>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采购包1：收取</w:t>
            </w:r>
          </w:p>
          <w:p>
            <w:pPr>
              <w:pStyle w:val="null3"/>
              <w:jc w:val="left"/>
            </w:pPr>
            <w:r>
              <w:rPr/>
              <w:t>本采购包履约保证金为合同金额的5%</w:t>
            </w:r>
          </w:p>
          <w:p>
            <w:pPr>
              <w:pStyle w:val="null3"/>
              <w:jc w:val="left"/>
            </w:pPr>
            <w:r>
              <w:rPr/>
              <w:t>交款方式：银行转账，支票/汇票/本票，保函/保险</w:t>
            </w:r>
          </w:p>
          <w:p>
            <w:pPr>
              <w:pStyle w:val="null3"/>
              <w:jc w:val="left"/>
            </w:pPr>
            <w:r>
              <w:rPr/>
              <w:t>中标人取得中标通知书后5个工作日内须向采购人支付合同金额的5%作为履约保证金，履约保证金在履约验收合格一年后，采购人在10日内无息全额退还。</w:t>
            </w:r>
          </w:p>
          <w:p>
            <w:pPr>
              <w:pStyle w:val="null3"/>
              <w:jc w:val="left"/>
            </w:pPr>
            <w:r>
              <w:rPr/>
              <w:t>采购包2：收取</w:t>
            </w:r>
          </w:p>
          <w:p>
            <w:pPr>
              <w:pStyle w:val="null3"/>
              <w:jc w:val="left"/>
            </w:pPr>
            <w:r>
              <w:rPr/>
              <w:t>本采购包履约保证金为合同金额的5%</w:t>
            </w:r>
          </w:p>
          <w:p>
            <w:pPr>
              <w:pStyle w:val="null3"/>
              <w:jc w:val="left"/>
            </w:pPr>
            <w:r>
              <w:rPr/>
              <w:t>交款方式：银行转账，支票/汇票/本票，保函/保险</w:t>
            </w:r>
          </w:p>
          <w:p>
            <w:pPr>
              <w:pStyle w:val="null3"/>
              <w:jc w:val="left"/>
            </w:pPr>
            <w:r>
              <w:rPr/>
              <w:t>中标人取得中标通知书后5个工作日内须向采购人支付合同金额的5%作为履约保证金，履约保证金在履约验收合格一年后，采购人在10日内无息全额退还。</w:t>
            </w:r>
          </w:p>
        </w:tc>
      </w:tr>
      <w:tr>
        <w:tc>
          <w:tcPr>
            <w:tcW w:type="dxa" w:w="1051"/>
          </w:tcPr>
          <w:p>
            <w:pPr>
              <w:pStyle w:val="null3"/>
              <w:jc w:val="left"/>
            </w:pPr>
            <w:r>
              <w:rPr/>
              <w:t>6.</w:t>
            </w:r>
          </w:p>
        </w:tc>
        <w:tc>
          <w:tcPr>
            <w:tcW w:type="dxa" w:w="2252"/>
          </w:tcPr>
          <w:p>
            <w:pPr>
              <w:pStyle w:val="null3"/>
              <w:jc w:val="left"/>
            </w:pPr>
            <w:r>
              <w:rPr/>
              <w:t>投标有效期★</w:t>
            </w:r>
          </w:p>
        </w:tc>
        <w:tc>
          <w:tcPr>
            <w:tcW w:type="dxa" w:w="5004"/>
          </w:tcPr>
          <w:p>
            <w:pPr>
              <w:pStyle w:val="null3"/>
              <w:jc w:val="left"/>
            </w:pPr>
            <w:r>
              <w:rPr/>
              <w:t xml:space="preserve">提交投标文件的截止之日起不少于 </w:t>
            </w:r>
            <w:r>
              <w:rPr/>
              <w:t>90</w:t>
            </w:r>
            <w:r>
              <w:rPr/>
              <w:t xml:space="preserve"> 天。投标文件未明确投标有效期或者少于前述规定天数的，其投标文件按无效处理。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代理服务费收费标准：中标金额（万元） 货物招标 100 1.5% 100-500 1.1% 根据成本加合理利润的原则，采用差额定率累进计费方式，按照上表标准下浮20%收取代理服务费，服务费不足3000元的按3000元收取。</w:t>
            </w:r>
          </w:p>
        </w:tc>
      </w:tr>
      <w:tr>
        <w:tc>
          <w:tcPr>
            <w:tcW w:type="dxa" w:w="1051"/>
          </w:tcPr>
          <w:p>
            <w:pPr>
              <w:pStyle w:val="null3"/>
              <w:jc w:val="left"/>
            </w:pPr>
            <w:r>
              <w:rPr/>
              <w:t>8.</w:t>
            </w:r>
          </w:p>
        </w:tc>
        <w:tc>
          <w:tcPr>
            <w:tcW w:type="dxa" w:w="2252"/>
          </w:tcPr>
          <w:p>
            <w:pPr>
              <w:pStyle w:val="null3"/>
              <w:jc w:val="left"/>
            </w:pPr>
            <w:r>
              <w:rPr/>
              <w:t>中标结果公告</w:t>
            </w:r>
          </w:p>
        </w:tc>
        <w:tc>
          <w:tcPr>
            <w:tcW w:type="dxa" w:w="5004"/>
          </w:tcPr>
          <w:p>
            <w:pPr>
              <w:pStyle w:val="null3"/>
              <w:jc w:val="left"/>
            </w:pPr>
            <w:r>
              <w:rPr/>
              <w:t>中标结果将在四川政府采购网予以公告。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p>
            <w:pPr>
              <w:pStyle w:val="null3"/>
              <w:jc w:val="left"/>
            </w:pPr>
            <w:r>
              <w:rPr/>
              <w:t>采购包2：否</w:t>
            </w:r>
          </w:p>
        </w:tc>
      </w:tr>
      <w:tr>
        <w:tc>
          <w:tcPr>
            <w:tcW w:type="dxa" w:w="1051"/>
          </w:tcPr>
          <w:p>
            <w:pPr>
              <w:pStyle w:val="null3"/>
              <w:jc w:val="left"/>
            </w:pPr>
            <w:r>
              <w:rPr/>
              <w:t>10.</w:t>
            </w:r>
          </w:p>
        </w:tc>
        <w:tc>
          <w:tcPr>
            <w:tcW w:type="dxa" w:w="2252"/>
          </w:tcPr>
          <w:p>
            <w:pPr>
              <w:pStyle w:val="null3"/>
              <w:jc w:val="left"/>
            </w:pPr>
            <w:r>
              <w:rPr/>
              <w:t>是否召开开标前答疑会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 xml:space="preserve"> 一、交易系统发生故障（包括感染病毒、应用或数据库出错）而无法正常使用的；</w:t>
            </w:r>
          </w:p>
          <w:p>
            <w:pPr>
              <w:pStyle w:val="null3"/>
              <w:jc w:val="left"/>
            </w:pPr>
            <w:r>
              <w:rPr/>
              <w:t xml:space="preserve"> 二、因组织场所停电、断网等原因，导致采购活动无法继续通过交易系统实施的；</w:t>
            </w:r>
          </w:p>
          <w:p>
            <w:pPr>
              <w:pStyle w:val="null3"/>
              <w:jc w:val="left"/>
            </w:pPr>
            <w:r>
              <w:rPr/>
              <w:t xml:space="preserve"> 三、其他无法保证电子化交易的公平、公正和安全的情况。</w:t>
            </w:r>
          </w:p>
          <w:p>
            <w:pPr>
              <w:pStyle w:val="null3"/>
              <w:jc w:val="left"/>
            </w:pPr>
            <w:r>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 xml:space="preserve"> 注：</w:t>
            </w:r>
          </w:p>
          <w:p>
            <w:pPr>
              <w:pStyle w:val="null3"/>
              <w:jc w:val="left"/>
            </w:pPr>
            <w:r>
              <w:rPr/>
              <w:t xml:space="preserve"> 1.平台系统故障认定以四川政府采购网发布的系统运维通知内容为准；</w:t>
            </w:r>
          </w:p>
          <w:p>
            <w:pPr>
              <w:pStyle w:val="null3"/>
              <w:jc w:val="left"/>
            </w:pPr>
            <w:r>
              <w:rPr/>
              <w:t xml:space="preserve"> 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本招标文件中“★”要求为实质性要求。投标人应当按照第五章评审程序中的符合性审查规定，在投标文件中进行实质性响应，否则作无效投标处理。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本招标文件所称的“以上”、“以下”、“内”、“以内”、“超过”、“少于”、“不少于”包括本数；所称的“不足”、“低于”、“不低于”不包括本数。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一、本招标文件仅适用于本次公开招标采购项目。</w:t>
      </w:r>
    </w:p>
    <w:p>
      <w:pPr>
        <w:pStyle w:val="null3"/>
        <w:ind w:firstLine="480"/>
        <w:jc w:val="left"/>
      </w:pPr>
      <w:r>
        <w:rPr/>
        <w:t xml:space="preserve">二、本招标文件由 </w:t>
      </w:r>
      <w:r>
        <w:rPr/>
        <w:t>成都市第八人民医院（成都市慢性病医院、成都市老年服务示训中心）</w:t>
      </w:r>
      <w:r>
        <w:rPr/>
        <w:t xml:space="preserve"> 和 </w:t>
      </w:r>
      <w:r>
        <w:rPr/>
        <w:t>四川至诚至达工程咨询有限公司</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一、“采购人”是指依法进行政府采购的国家机关、事业单位、团体组织。本次招标的采购人是 </w:t>
      </w:r>
      <w:r>
        <w:rPr/>
        <w:t>成都市第八人民医院（成都市慢性病医院、成都市老年服务示训中心）</w:t>
      </w:r>
      <w:r>
        <w:rPr/>
        <w:t xml:space="preserve"> 。</w:t>
      </w:r>
    </w:p>
    <w:p>
      <w:pPr>
        <w:pStyle w:val="null3"/>
        <w:ind w:firstLine="480"/>
        <w:jc w:val="left"/>
      </w:pPr>
      <w:r>
        <w:rPr/>
        <w:t>二、“投标人”是指按照采购公告规定获取招标文件，参加投标竞争的法人、其他组织或者自然人。</w:t>
      </w:r>
    </w:p>
    <w:p>
      <w:pPr>
        <w:pStyle w:val="null3"/>
        <w:ind w:firstLine="480"/>
        <w:jc w:val="left"/>
      </w:pPr>
      <w:r>
        <w:rPr/>
        <w:t xml:space="preserve">三、“代理机构”是指集中采购机构和从事采购代理业务的社会中介机构。本项目的代理机构是 </w:t>
      </w:r>
      <w:r>
        <w:rPr/>
        <w:t>四川至诚至达工程咨询有限公司</w:t>
      </w:r>
      <w:r>
        <w:rPr/>
        <w:t xml:space="preserve"> 。</w:t>
      </w:r>
    </w:p>
    <w:p>
      <w:pPr>
        <w:pStyle w:val="null3"/>
        <w:ind w:firstLine="480"/>
        <w:jc w:val="left"/>
      </w:pPr>
      <w:r>
        <w:rPr/>
        <w:t>四、“网上开标”是指代理机构通过交易系统在线组织投标文件解密，投标人通过交易系统在线解密投标文件等活动。</w:t>
      </w:r>
    </w:p>
    <w:p>
      <w:pPr>
        <w:pStyle w:val="null3"/>
        <w:ind w:firstLine="480"/>
        <w:jc w:val="left"/>
      </w:pPr>
      <w:r>
        <w:rPr/>
        <w:t>五、“电子评标”是指评标委员会开展资格审查、符合性审查、比较与评价、推荐中标候选人、出具评标报告等活动。</w:t>
      </w:r>
    </w:p>
    <w:p>
      <w:pPr>
        <w:pStyle w:val="null3"/>
        <w:jc w:val="left"/>
        <w:outlineLvl w:val="2"/>
      </w:pPr>
      <w:r>
        <w:rPr>
          <w:b/>
          <w:sz w:val="28"/>
        </w:rPr>
        <w:t>2.3.招标文件</w:t>
      </w:r>
    </w:p>
    <w:p>
      <w:pPr>
        <w:pStyle w:val="null3"/>
        <w:jc w:val="left"/>
        <w:outlineLvl w:val="3"/>
      </w:pPr>
      <w:r>
        <w:rPr>
          <w:b/>
          <w:sz w:val="24"/>
        </w:rPr>
        <w:t>2.3.1.招标文件的构成</w:t>
      </w:r>
    </w:p>
    <w:p>
      <w:pPr>
        <w:pStyle w:val="null3"/>
        <w:ind w:firstLine="480"/>
        <w:jc w:val="left"/>
      </w:pPr>
      <w:r>
        <w:rPr/>
        <w:t>招标文件由采购人、代理机构编制，是项目采购活动开展的基本依据，主要包括以下内容：</w:t>
      </w:r>
    </w:p>
    <w:p>
      <w:pPr>
        <w:pStyle w:val="null3"/>
        <w:ind w:firstLine="480"/>
        <w:jc w:val="left"/>
      </w:pPr>
      <w:r>
        <w:rPr/>
        <w:t>一、投标邀请；</w:t>
      </w:r>
    </w:p>
    <w:p>
      <w:pPr>
        <w:pStyle w:val="null3"/>
        <w:ind w:firstLine="480"/>
        <w:jc w:val="left"/>
      </w:pPr>
      <w:r>
        <w:rPr/>
        <w:t>二、投标人须知；</w:t>
      </w:r>
    </w:p>
    <w:p>
      <w:pPr>
        <w:pStyle w:val="null3"/>
        <w:ind w:firstLine="480"/>
        <w:jc w:val="left"/>
      </w:pPr>
      <w:r>
        <w:rPr/>
        <w:t>三、技术、服务及其他要求；</w:t>
      </w:r>
    </w:p>
    <w:p>
      <w:pPr>
        <w:pStyle w:val="null3"/>
        <w:ind w:firstLine="480"/>
        <w:jc w:val="left"/>
      </w:pPr>
      <w:r>
        <w:rPr/>
        <w:t>四、资格审查；</w:t>
      </w:r>
    </w:p>
    <w:p>
      <w:pPr>
        <w:pStyle w:val="null3"/>
        <w:ind w:firstLine="480"/>
        <w:jc w:val="left"/>
      </w:pPr>
      <w:r>
        <w:rPr/>
        <w:t>五、评标办法；</w:t>
      </w:r>
    </w:p>
    <w:p>
      <w:pPr>
        <w:pStyle w:val="null3"/>
        <w:ind w:firstLine="480"/>
        <w:jc w:val="left"/>
      </w:pPr>
      <w:r>
        <w:rPr/>
        <w:t>六、投标文件格式；</w:t>
      </w:r>
    </w:p>
    <w:p>
      <w:pPr>
        <w:pStyle w:val="null3"/>
        <w:ind w:firstLine="480"/>
        <w:jc w:val="left"/>
      </w:pPr>
      <w:r>
        <w:rPr/>
        <w:t>七、拟签订采购合同文本。</w:t>
      </w:r>
    </w:p>
    <w:p>
      <w:pPr>
        <w:pStyle w:val="null3"/>
        <w:jc w:val="left"/>
        <w:outlineLvl w:val="3"/>
      </w:pPr>
      <w:r>
        <w:rPr>
          <w:b/>
          <w:sz w:val="24"/>
        </w:rPr>
        <w:t>2.3.2.招标文件的澄清和修改</w:t>
      </w:r>
    </w:p>
    <w:p>
      <w:pPr>
        <w:pStyle w:val="null3"/>
        <w:ind w:firstLine="480"/>
        <w:jc w:val="left"/>
      </w:pPr>
      <w:r>
        <w:rPr/>
        <w:t>一、投标截止时间前，采购人或者代理机构可以对已发出的招标文件进行必要的澄清或者修改，但不得改变采购标的和资格条件。</w:t>
      </w:r>
    </w:p>
    <w:p>
      <w:pPr>
        <w:pStyle w:val="null3"/>
        <w:ind w:firstLine="480"/>
        <w:jc w:val="left"/>
      </w:pPr>
      <w:r>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供应商发送更正信息；不足15日的，采购人或者代理机构应当顺延提交投标文件的截止时间。</w:t>
      </w:r>
    </w:p>
    <w:p>
      <w:pPr>
        <w:pStyle w:val="null3"/>
        <w:ind w:firstLine="480"/>
        <w:jc w:val="left"/>
      </w:pPr>
      <w:r>
        <w:rPr/>
        <w:t>三、投标人根据更正公告、更正信息要求，重新获取招标文件，进行投标文件编制。</w:t>
      </w:r>
    </w:p>
    <w:p>
      <w:pPr>
        <w:pStyle w:val="null3"/>
        <w:jc w:val="left"/>
        <w:outlineLvl w:val="2"/>
      </w:pPr>
      <w:r>
        <w:rPr>
          <w:b/>
          <w:sz w:val="28"/>
        </w:rPr>
        <w:t>2.4.投标文件</w:t>
      </w:r>
    </w:p>
    <w:p>
      <w:pPr>
        <w:pStyle w:val="null3"/>
        <w:jc w:val="left"/>
        <w:outlineLvl w:val="3"/>
      </w:pPr>
      <w:r>
        <w:rPr>
          <w:b/>
          <w:sz w:val="24"/>
        </w:rPr>
        <w:t>2.4.1.投标文件的语言</w:t>
      </w:r>
    </w:p>
    <w:p>
      <w:pPr>
        <w:pStyle w:val="null3"/>
        <w:ind w:firstLine="480"/>
        <w:jc w:val="left"/>
      </w:pPr>
      <w:r>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t>（一）投标人的法定代表人为外籍人士的，法定代表人的签字和护照。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三、如因未翻译而造成对投标人的不利后果，由投标人承担。</w:t>
      </w:r>
    </w:p>
    <w:p>
      <w:pPr>
        <w:pStyle w:val="null3"/>
        <w:jc w:val="left"/>
        <w:outlineLvl w:val="3"/>
      </w:pPr>
      <w:r>
        <w:rPr>
          <w:b/>
          <w:sz w:val="24"/>
        </w:rPr>
        <w:t>2.4.2.计量单位★</w:t>
      </w:r>
    </w:p>
    <w:p>
      <w:pPr>
        <w:pStyle w:val="null3"/>
        <w:ind w:firstLine="480"/>
        <w:jc w:val="left"/>
      </w:pPr>
      <w:r>
        <w:rPr/>
        <w:t>除招标文件中另有规定外，本项目均采用国家法定的计量单位。</w:t>
      </w:r>
    </w:p>
    <w:p>
      <w:pPr>
        <w:pStyle w:val="null3"/>
        <w:jc w:val="left"/>
        <w:outlineLvl w:val="3"/>
      </w:pPr>
      <w:r>
        <w:rPr>
          <w:b/>
          <w:sz w:val="24"/>
        </w:rPr>
        <w:t>2.4.3.投标货币★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并且赔偿由此给采购人带来的损失。采购人享有本项目实施过程中产生的知识成果及知识产权。</w:t>
      </w:r>
    </w:p>
    <w:p>
      <w:pPr>
        <w:pStyle w:val="null3"/>
        <w:ind w:firstLine="480"/>
        <w:jc w:val="left"/>
      </w:pPr>
      <w:r>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t>三、如使用投标人所不拥有的知识产权，则在投标报价中必须包括合法使用该知识产权的相关费用。</w:t>
      </w:r>
    </w:p>
    <w:p>
      <w:pPr>
        <w:pStyle w:val="null3"/>
        <w:jc w:val="left"/>
        <w:outlineLvl w:val="3"/>
      </w:pPr>
      <w:r>
        <w:rPr>
          <w:b/>
          <w:sz w:val="24"/>
        </w:rPr>
        <w:t>2.4.5.投标报价★</w:t>
      </w:r>
    </w:p>
    <w:p>
      <w:pPr>
        <w:pStyle w:val="null3"/>
        <w:ind w:firstLine="480"/>
        <w:jc w:val="left"/>
      </w:pPr>
      <w:r>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该投标报价作为合同价，在合同履行中原则上不得变更。</w:t>
      </w:r>
    </w:p>
    <w:p>
      <w:pPr>
        <w:pStyle w:val="null3"/>
        <w:ind w:firstLine="480"/>
        <w:jc w:val="left"/>
      </w:pPr>
      <w:r>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签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b/>
          <w:sz w:val="24"/>
        </w:rPr>
        <w:t>2.4.6.投标文件的编制、签章和加密★</w:t>
      </w:r>
    </w:p>
    <w:p>
      <w:pPr>
        <w:pStyle w:val="null3"/>
        <w:ind w:firstLine="480"/>
        <w:jc w:val="left"/>
      </w:pPr>
      <w:r>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t>二、投标人通过四川政府采购网-下载专区下载投标（响应）客户端，使用投标（响应）客户端编制投标文件，完成投标文件编制、加盖电子印章和加密。</w:t>
      </w:r>
    </w:p>
    <w:p>
      <w:pPr>
        <w:pStyle w:val="null3"/>
        <w:jc w:val="left"/>
        <w:outlineLvl w:val="3"/>
      </w:pPr>
      <w:r>
        <w:rPr>
          <w:b/>
          <w:sz w:val="24"/>
        </w:rPr>
        <w:t>2.4.7.投标文件的提交★</w:t>
      </w:r>
    </w:p>
    <w:p>
      <w:pPr>
        <w:pStyle w:val="null3"/>
        <w:ind w:firstLine="480"/>
        <w:jc w:val="left"/>
      </w:pPr>
      <w:r>
        <w:rPr/>
        <w:t>一、投标截止时间前，投标人通过交易系统完成投标文件提交，成功提交投标文件的，将收到成功提交投标文件的回执单。成功提交投标文件的供应商信息在投标截止时间前，将加密保存。</w:t>
      </w:r>
    </w:p>
    <w:p>
      <w:pPr>
        <w:pStyle w:val="null3"/>
        <w:ind w:firstLine="480"/>
        <w:jc w:val="left"/>
      </w:pPr>
      <w:r>
        <w:rPr/>
        <w:t>未按招标文件和采购平台操作规范编制、确认、加密、盖章和提交的投标文件，将被拒绝接收。</w:t>
      </w:r>
    </w:p>
    <w:p>
      <w:pPr>
        <w:pStyle w:val="null3"/>
        <w:ind w:firstLine="480"/>
        <w:jc w:val="left"/>
      </w:pPr>
      <w:r>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t>三、除投标人外，其他任何单位和个人不得解密投标文件或者调整修改已提交投标文件的内容及提交状态。</w:t>
      </w:r>
    </w:p>
    <w:p>
      <w:pPr>
        <w:pStyle w:val="null3"/>
        <w:jc w:val="left"/>
        <w:outlineLvl w:val="3"/>
      </w:pPr>
      <w:r>
        <w:rPr>
          <w:b/>
          <w:sz w:val="24"/>
        </w:rPr>
        <w:t>2.4.8.投标文件的补充、修改、撤回★</w:t>
      </w:r>
    </w:p>
    <w:p>
      <w:pPr>
        <w:pStyle w:val="null3"/>
        <w:ind w:firstLine="480"/>
        <w:jc w:val="left"/>
      </w:pPr>
      <w:r>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t>投标人投标文件撤回后，视为未提交过投标文件。</w:t>
      </w:r>
    </w:p>
    <w:p>
      <w:pPr>
        <w:pStyle w:val="null3"/>
        <w:jc w:val="left"/>
        <w:outlineLvl w:val="2"/>
      </w:pPr>
      <w:r>
        <w:rPr>
          <w:b/>
          <w:sz w:val="28"/>
        </w:rPr>
        <w:t>2.5.开标、资格审查、评标和中标</w:t>
      </w:r>
    </w:p>
    <w:p>
      <w:pPr>
        <w:pStyle w:val="null3"/>
        <w:jc w:val="left"/>
        <w:outlineLvl w:val="3"/>
      </w:pPr>
      <w:r>
        <w:rPr>
          <w:b/>
          <w:sz w:val="24"/>
        </w:rPr>
        <w:t>2.5.1.开标</w:t>
      </w:r>
    </w:p>
    <w:p>
      <w:pPr>
        <w:pStyle w:val="null3"/>
        <w:jc w:val="left"/>
        <w:outlineLvl w:val="3"/>
      </w:pPr>
      <w:r>
        <w:rPr>
          <w:b/>
          <w:sz w:val="24"/>
        </w:rPr>
        <w:t>2.5.1.1.开标程序</w:t>
      </w:r>
    </w:p>
    <w:p>
      <w:pPr>
        <w:pStyle w:val="null3"/>
        <w:ind w:firstLine="480"/>
        <w:jc w:val="left"/>
      </w:pPr>
      <w:r>
        <w:rPr/>
        <w:t>投标截止时间后，通过交易系统“开标/开启大厅”网上开标，在线解密投标文件。</w:t>
      </w:r>
    </w:p>
    <w:p>
      <w:pPr>
        <w:pStyle w:val="null3"/>
        <w:jc w:val="left"/>
        <w:outlineLvl w:val="3"/>
      </w:pPr>
      <w:r>
        <w:rPr>
          <w:b/>
          <w:sz w:val="24"/>
        </w:rPr>
        <w:t>2.5.1.2.解密投标文件★</w:t>
      </w:r>
    </w:p>
    <w:p>
      <w:pPr>
        <w:pStyle w:val="null3"/>
        <w:ind w:firstLine="480"/>
        <w:jc w:val="left"/>
      </w:pPr>
      <w:r>
        <w:rPr/>
        <w:t xml:space="preserve">投标截止时间后，成功提交投标文件的投标人符合招标文件规定数量的，代理机构将启动投标文件解密程序，解密时间为 </w:t>
      </w:r>
      <w:r>
        <w:rPr/>
        <w:t>30</w:t>
      </w:r>
      <w:r>
        <w:rPr/>
        <w:t xml:space="preserve"> 分钟；投标人应在规定的解密时间内，使用加密投标文件的数字证书进行投标文件解密。除因采购平台系统故障导致投标人未按时完成解密外，投标人未在规定的解密时间内完成解密的，按无效投标处理。</w:t>
      </w:r>
    </w:p>
    <w:p>
      <w:pPr>
        <w:pStyle w:val="null3"/>
        <w:jc w:val="left"/>
        <w:outlineLvl w:val="3"/>
      </w:pPr>
      <w:r>
        <w:rPr>
          <w:b/>
          <w:sz w:val="24"/>
        </w:rPr>
        <w:t>2.5.1.3.有关要求</w:t>
      </w:r>
    </w:p>
    <w:p>
      <w:pPr>
        <w:pStyle w:val="null3"/>
        <w:ind w:firstLine="480"/>
        <w:jc w:val="left"/>
      </w:pPr>
      <w:r>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t>开标过程中，投标人对开标过程有疑义，可向代理机构提出询问，代理机构应当及时予以答复。</w:t>
      </w:r>
    </w:p>
    <w:p>
      <w:pPr>
        <w:pStyle w:val="null3"/>
        <w:ind w:firstLine="480"/>
        <w:jc w:val="left"/>
      </w:pPr>
      <w:r>
        <w:rPr/>
        <w:t>投标人完成投标文件解密后，自主决定是否参加在线开标，未参加的，视同认可开标结果。</w:t>
      </w:r>
    </w:p>
    <w:p>
      <w:pPr>
        <w:pStyle w:val="null3"/>
        <w:ind w:firstLine="480"/>
        <w:jc w:val="left"/>
      </w:pPr>
      <w:r>
        <w:rPr/>
        <w:t>成功提交或者成功解密电子投标文件的投标人不足3家的，采购人或者代理机构将作废标处理。</w:t>
      </w:r>
    </w:p>
    <w:p>
      <w:pPr>
        <w:pStyle w:val="null3"/>
        <w:jc w:val="left"/>
        <w:outlineLvl w:val="3"/>
      </w:pPr>
      <w:r>
        <w:rPr>
          <w:b/>
          <w:sz w:val="24"/>
        </w:rPr>
        <w:t>2.5.2.查询及使用信用记录</w:t>
      </w:r>
    </w:p>
    <w:p>
      <w:pPr>
        <w:pStyle w:val="null3"/>
        <w:ind w:firstLine="480"/>
        <w:jc w:val="left"/>
      </w:pPr>
      <w:r>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中的投标人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2.5.3.资格审查</w:t>
      </w:r>
    </w:p>
    <w:p>
      <w:pPr>
        <w:pStyle w:val="null3"/>
        <w:ind w:firstLine="480"/>
        <w:jc w:val="left"/>
      </w:pPr>
      <w:r>
        <w:rPr/>
        <w:t>详见招标文件第四章。</w:t>
      </w:r>
    </w:p>
    <w:p>
      <w:pPr>
        <w:pStyle w:val="null3"/>
        <w:jc w:val="left"/>
        <w:outlineLvl w:val="3"/>
      </w:pPr>
      <w:r>
        <w:rPr>
          <w:b/>
          <w:sz w:val="24"/>
        </w:rPr>
        <w:t>2.5.4.评标</w:t>
      </w:r>
    </w:p>
    <w:p>
      <w:pPr>
        <w:pStyle w:val="null3"/>
        <w:ind w:firstLine="480"/>
        <w:jc w:val="left"/>
      </w:pPr>
      <w:r>
        <w:rPr/>
        <w:t>详见招标文件第五章。</w:t>
      </w:r>
    </w:p>
    <w:p>
      <w:pPr>
        <w:pStyle w:val="null3"/>
        <w:jc w:val="left"/>
        <w:outlineLvl w:val="3"/>
      </w:pPr>
      <w:r>
        <w:rPr>
          <w:b/>
          <w:sz w:val="24"/>
        </w:rPr>
        <w:t>2.5.5.中标通知书</w:t>
      </w:r>
    </w:p>
    <w:p>
      <w:pPr>
        <w:pStyle w:val="null3"/>
        <w:ind w:firstLine="480"/>
        <w:jc w:val="left"/>
      </w:pPr>
      <w:r>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t>三、中标人完全遵守《中华人民共和国劳动合同法》有关规定和《中华人民共和国妇女权益保障法》中关于“劳动和社会保障权益”的有关要求。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政府采购合同签订之日起2个工作日内，采购人将政府采购合同在四川政府采购网予以公告；政府采购合同签订之日起7个工作日内，采购人将政府采购合同报本级财政部门备案。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一、严禁中标人将本项目合同转包。</w:t>
      </w:r>
    </w:p>
    <w:p>
      <w:pPr>
        <w:pStyle w:val="null3"/>
        <w:ind w:firstLine="480"/>
        <w:jc w:val="left"/>
      </w:pPr>
      <w:r>
        <w:rPr/>
        <w:t>二、中标人将合同转包的，将依法追究法律责任。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一、采购人与中标人应当根据合同的约定依法履行合同义务。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jc w:val="left"/>
      </w:pPr>
      <w:r>
        <w:rPr/>
        <w:t>采购包2：</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jc w:val="left"/>
      </w:pPr>
      <w:r>
        <w:rPr/>
        <w:t>采购包2：</w:t>
      </w:r>
      <w:r>
        <w:rPr/>
        <w:t>否</w:t>
      </w:r>
    </w:p>
    <w:p>
      <w:pPr>
        <w:pStyle w:val="null3"/>
        <w:ind w:firstLine="480"/>
        <w:jc w:val="left"/>
      </w:pPr>
      <w:r>
        <w:rPr/>
        <w:t>三、是否邀请专家：</w:t>
      </w:r>
    </w:p>
    <w:p>
      <w:pPr>
        <w:pStyle w:val="null3"/>
        <w:ind w:firstLine="480"/>
        <w:jc w:val="left"/>
      </w:pPr>
      <w:r>
        <w:rPr/>
        <w:t>采购包1：</w:t>
      </w:r>
      <w:r>
        <w:rPr/>
        <w:t>是</w:t>
      </w:r>
    </w:p>
    <w:p>
      <w:pPr>
        <w:pStyle w:val="null3"/>
        <w:jc w:val="left"/>
      </w:pPr>
      <w:r>
        <w:rPr/>
        <w:t>采购包2：</w:t>
      </w:r>
      <w:r>
        <w:rPr/>
        <w:t>是</w:t>
      </w:r>
    </w:p>
    <w:p>
      <w:pPr>
        <w:pStyle w:val="null3"/>
        <w:ind w:firstLine="480"/>
        <w:jc w:val="left"/>
      </w:pPr>
      <w:r>
        <w:rPr/>
        <w:t>四、是否邀请服务对象：</w:t>
      </w:r>
    </w:p>
    <w:p>
      <w:pPr>
        <w:pStyle w:val="null3"/>
        <w:ind w:firstLine="480"/>
        <w:jc w:val="left"/>
      </w:pPr>
      <w:r>
        <w:rPr/>
        <w:t>采购包1：</w:t>
      </w:r>
      <w:r>
        <w:rPr/>
        <w:t>否</w:t>
      </w:r>
    </w:p>
    <w:p>
      <w:pPr>
        <w:pStyle w:val="null3"/>
        <w:jc w:val="left"/>
      </w:pPr>
      <w:r>
        <w:rPr/>
        <w:t>采购包2：</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jc w:val="left"/>
      </w:pPr>
      <w:r>
        <w:rPr/>
        <w:t>采购包2：</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jc w:val="left"/>
      </w:pPr>
      <w:r>
        <w:rPr/>
        <w:t>采购包2：</w:t>
      </w:r>
      <w:r>
        <w:rPr/>
        <w:t>一次性验收</w:t>
      </w:r>
    </w:p>
    <w:p>
      <w:pPr>
        <w:pStyle w:val="null3"/>
        <w:ind w:firstLine="480"/>
        <w:jc w:val="left"/>
      </w:pPr>
      <w:r>
        <w:rPr/>
        <w:t>七、履约验收时间：</w:t>
      </w:r>
    </w:p>
    <w:p>
      <w:pPr>
        <w:pStyle w:val="null3"/>
        <w:ind w:firstLine="480"/>
        <w:jc w:val="left"/>
      </w:pPr>
      <w:r>
        <w:rPr/>
        <w:t>1、</w:t>
      </w:r>
      <w:r>
        <w:rPr/>
        <w:t xml:space="preserve"> 验收条件说明： </w:t>
      </w:r>
      <w:r>
        <w:rPr/>
        <w:t>供应商提出验收申请之日起</w:t>
      </w:r>
      <w:r>
        <w:rPr/>
        <w:t xml:space="preserve"> ，达到验收条件起 </w:t>
      </w:r>
      <w:r>
        <w:rPr/>
        <w:t>10</w:t>
      </w:r>
      <w:r>
        <w:rPr/>
        <w:t xml:space="preserve"> 日内，验收合同总金额的 </w:t>
      </w:r>
      <w:r>
        <w:rPr/>
        <w:t>100</w:t>
      </w:r>
      <w:r>
        <w:rPr/>
        <w:t>%；</w:t>
      </w:r>
    </w:p>
    <w:p>
      <w:pPr>
        <w:pStyle w:val="null3"/>
        <w:jc w:val="left"/>
      </w:pPr>
      <w:r>
        <w:rPr/>
        <w:t>1、</w:t>
      </w:r>
      <w:r>
        <w:rPr/>
        <w:t xml:space="preserve"> 验收条件说明： </w:t>
      </w:r>
      <w:r>
        <w:rPr/>
        <w:t>供应商提出验收申请之日起</w:t>
      </w:r>
      <w:r>
        <w:rPr/>
        <w:t xml:space="preserve"> ，达到验收条件起 </w:t>
      </w:r>
      <w:r>
        <w:rPr/>
        <w:t>10</w:t>
      </w:r>
      <w:r>
        <w:rPr/>
        <w:t xml:space="preserve"> 日内，验收合同总金额的 </w:t>
      </w:r>
      <w:r>
        <w:rPr/>
        <w:t>100</w:t>
      </w:r>
      <w:r>
        <w:rPr/>
        <w:t>%；</w:t>
      </w:r>
    </w:p>
    <w:p>
      <w:pPr>
        <w:pStyle w:val="null3"/>
        <w:ind w:firstLine="480"/>
        <w:jc w:val="left"/>
      </w:pPr>
      <w:r>
        <w:rPr/>
        <w:t>八、验收组织的其他事项：</w:t>
      </w:r>
    </w:p>
    <w:p>
      <w:pPr>
        <w:pStyle w:val="null3"/>
        <w:ind w:firstLine="480"/>
        <w:jc w:val="left"/>
      </w:pPr>
      <w:r>
        <w:rPr/>
        <w:t>采购包1：</w:t>
      </w:r>
      <w:r>
        <w:rPr/>
        <w:t>1、验收主体：采购人； 2、验收时间：在中标人申请进行履约验收后10日内进行验收； 3、验收方式： 3.1 货物到达现场后，中标人应在使用单位人员在场情况下当面开箱，共同清点、检查外观，作出开箱记录，双方签字确认。 3.2 中标人应保证货物到达采购人所在地完好无损，如有缺漏、损坏，由中标人负责调换、补齐或赔偿； 4、验收程序：验收时，按照采购合同的约定对技术、商务等要求的履约情况进行确认。</w:t>
      </w:r>
    </w:p>
    <w:p>
      <w:pPr>
        <w:pStyle w:val="null3"/>
        <w:jc w:val="left"/>
      </w:pPr>
      <w:r>
        <w:rPr/>
        <w:t>采购包2：</w:t>
      </w:r>
      <w:r>
        <w:rPr/>
        <w:t>1、验收主体：采购人； 2、验收时间：在中标人申请进行履约验收后10日内进行验收； 3、验收方式： 3.1 货物到达现场后，中标人应在使用单位人员在场情况下当面开箱，共同清点、检查外观，作出开箱记录，双方签字确认。 3.2 中标人应保证货物到达采购人所在地完好无损，如有缺漏、损坏，由中标人负责调换、补齐或赔偿； 4、验收程序：验收时，按照采购合同的约定对技术、商务等要求的履约情况进行确认。</w:t>
      </w:r>
    </w:p>
    <w:p>
      <w:pPr>
        <w:pStyle w:val="null3"/>
        <w:ind w:firstLine="480"/>
        <w:jc w:val="left"/>
      </w:pPr>
      <w:r>
        <w:rPr/>
        <w:t>九、技术履约验收内容：</w:t>
      </w:r>
    </w:p>
    <w:p>
      <w:pPr>
        <w:pStyle w:val="null3"/>
        <w:ind w:firstLine="480"/>
        <w:jc w:val="left"/>
      </w:pPr>
      <w:r>
        <w:rPr/>
        <w:t>采购包1：</w:t>
      </w:r>
      <w:r>
        <w:rPr/>
        <w:t>按照采购合同的约定对技术等要求的履约情况进行确认。</w:t>
      </w:r>
    </w:p>
    <w:p>
      <w:pPr>
        <w:pStyle w:val="null3"/>
        <w:jc w:val="left"/>
      </w:pPr>
      <w:r>
        <w:rPr/>
        <w:t>采购包2：</w:t>
      </w:r>
      <w:r>
        <w:rPr/>
        <w:t>按照采购合同的约定对技术等要求的履约情况进行确认。</w:t>
      </w:r>
    </w:p>
    <w:p>
      <w:pPr>
        <w:pStyle w:val="null3"/>
        <w:ind w:firstLine="480"/>
        <w:jc w:val="left"/>
      </w:pPr>
      <w:r>
        <w:rPr/>
        <w:t>十、商务履约验收内容：</w:t>
      </w:r>
    </w:p>
    <w:p>
      <w:pPr>
        <w:pStyle w:val="null3"/>
        <w:ind w:firstLine="480"/>
        <w:jc w:val="left"/>
      </w:pPr>
      <w:r>
        <w:rPr/>
        <w:t>采购包1：</w:t>
      </w:r>
      <w:r>
        <w:rPr/>
        <w:t>按照采购合同的约定对商务等要求的履约情况进行确认。</w:t>
      </w:r>
    </w:p>
    <w:p>
      <w:pPr>
        <w:pStyle w:val="null3"/>
        <w:jc w:val="left"/>
      </w:pPr>
      <w:r>
        <w:rPr/>
        <w:t>采购包2：</w:t>
      </w:r>
      <w:r>
        <w:rPr/>
        <w:t>按照采购合同的约定对商务等要求的履约情况进行确认。</w:t>
      </w:r>
    </w:p>
    <w:p>
      <w:pPr>
        <w:pStyle w:val="null3"/>
        <w:ind w:firstLine="480"/>
        <w:jc w:val="left"/>
      </w:pPr>
      <w:r>
        <w:rPr/>
        <w:t>十一、履约验收标准：</w:t>
      </w:r>
    </w:p>
    <w:p>
      <w:pPr>
        <w:pStyle w:val="null3"/>
        <w:ind w:firstLine="480"/>
        <w:jc w:val="left"/>
      </w:pPr>
      <w:r>
        <w:rPr/>
        <w:t>采购包1：</w:t>
      </w:r>
      <w:r>
        <w:rPr/>
        <w:t>严格按照《财政部关于进一步加强政府采购需求和履约验收管理的指导意见》（财库〔2016〕205号）及政府采购相关法律法规、本项目采购文件要求、中标人的投标文件及承诺以及合同约定进行验收的要求进行验收。</w:t>
      </w:r>
    </w:p>
    <w:p>
      <w:pPr>
        <w:pStyle w:val="null3"/>
        <w:jc w:val="left"/>
      </w:pPr>
      <w:r>
        <w:rPr/>
        <w:t>采购包2：</w:t>
      </w:r>
      <w:r>
        <w:rPr/>
        <w:t>严格按照《财政部关于进一步加强政府采购需求和履约验收管理的指导意见》（财库〔2016〕205号）及政府采购相关法律法规、本项目采购文件要求、中标人的投标文件及承诺以及合同约定进行验收的要求进行验收。</w:t>
      </w:r>
    </w:p>
    <w:p>
      <w:pPr>
        <w:pStyle w:val="null3"/>
        <w:ind w:firstLine="480"/>
        <w:jc w:val="left"/>
      </w:pPr>
      <w:r>
        <w:rPr/>
        <w:t>十二、履约验收其他事项：</w:t>
      </w:r>
    </w:p>
    <w:p>
      <w:pPr>
        <w:pStyle w:val="null3"/>
        <w:ind w:firstLine="480"/>
        <w:jc w:val="left"/>
      </w:pPr>
      <w:r>
        <w:rPr/>
        <w:t>采购包1：</w:t>
      </w:r>
      <w:r>
        <w:rPr/>
        <w:t>验收结果不合格的，采购人将不予支付采购资金，并根据合同约定追究违约责任。</w:t>
      </w:r>
    </w:p>
    <w:p>
      <w:pPr>
        <w:pStyle w:val="null3"/>
        <w:jc w:val="left"/>
      </w:pPr>
      <w:r>
        <w:rPr/>
        <w:t>采购包2：</w:t>
      </w:r>
      <w:r>
        <w:rPr/>
        <w:t>验收结果不合格的，采购人将不予支付采购资金，并根据合同约定追究违约责任。</w:t>
      </w:r>
    </w:p>
    <w:p>
      <w:pPr>
        <w:pStyle w:val="null3"/>
        <w:jc w:val="left"/>
        <w:outlineLvl w:val="3"/>
      </w:pPr>
      <w:r>
        <w:rPr>
          <w:b/>
          <w:sz w:val="24"/>
        </w:rPr>
        <w:t>2.6.7.资金支付</w:t>
      </w:r>
    </w:p>
    <w:p>
      <w:pPr>
        <w:pStyle w:val="null3"/>
        <w:ind w:firstLine="480"/>
        <w:jc w:val="left"/>
      </w:pPr>
      <w:r>
        <w:rPr/>
        <w:t>采购人将按照政府采购合同规定，及时向中标人支付采购资金。具体支付约定详见第三章。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t>有关人员对评标情况以及在评标过程中获悉的国家秘密、商业秘密负有保密责任。</w:t>
      </w:r>
    </w:p>
    <w:p>
      <w:pPr>
        <w:pStyle w:val="null3"/>
        <w:jc w:val="left"/>
        <w:outlineLvl w:val="3"/>
      </w:pPr>
      <w:r>
        <w:rPr>
          <w:b/>
          <w:sz w:val="24"/>
        </w:rPr>
        <w:t>2.7.2.投标人不得具有的情形</w:t>
      </w:r>
    </w:p>
    <w:p>
      <w:pPr>
        <w:pStyle w:val="null3"/>
        <w:ind w:firstLine="480"/>
        <w:jc w:val="left"/>
      </w:pPr>
      <w:r>
        <w:rPr/>
        <w:t>投标人参加投标不得有下列情形：</w:t>
      </w:r>
    </w:p>
    <w:p>
      <w:pPr>
        <w:pStyle w:val="null3"/>
        <w:ind w:firstLine="480"/>
        <w:jc w:val="left"/>
      </w:pPr>
      <w:r>
        <w:rPr/>
        <w:t>一、有下列情形之一的，视为投标人串通投标：</w:t>
      </w:r>
    </w:p>
    <w:p>
      <w:pPr>
        <w:pStyle w:val="null3"/>
        <w:ind w:firstLine="480"/>
        <w:jc w:val="left"/>
      </w:pPr>
      <w:r>
        <w:rPr/>
        <w:t>（一）不同投标人的投标文件由同一单位或者个人编制；</w:t>
      </w:r>
    </w:p>
    <w:p>
      <w:pPr>
        <w:pStyle w:val="null3"/>
        <w:ind w:firstLine="480"/>
        <w:jc w:val="left"/>
      </w:pPr>
      <w:r>
        <w:rPr/>
        <w:t>（二）不同投标人委托同一单位或者个人办理投标事宜；</w:t>
      </w:r>
    </w:p>
    <w:p>
      <w:pPr>
        <w:pStyle w:val="null3"/>
        <w:ind w:firstLine="480"/>
        <w:jc w:val="left"/>
      </w:pPr>
      <w:r>
        <w:rPr/>
        <w:t>（三）不同投标人的投标文件载明的项目管理成员或者联系人员为同一人；</w:t>
      </w:r>
    </w:p>
    <w:p>
      <w:pPr>
        <w:pStyle w:val="null3"/>
        <w:ind w:firstLine="480"/>
        <w:jc w:val="left"/>
      </w:pPr>
      <w:r>
        <w:rPr/>
        <w:t>（四）不同投标人的投标文件异常一致或者投标报价呈规律性差异；</w:t>
      </w:r>
    </w:p>
    <w:p>
      <w:pPr>
        <w:pStyle w:val="null3"/>
        <w:ind w:firstLine="480"/>
        <w:jc w:val="left"/>
      </w:pPr>
      <w:r>
        <w:rPr/>
        <w:t>（五）不同投标人的投标文件相互混装；</w:t>
      </w:r>
    </w:p>
    <w:p>
      <w:pPr>
        <w:pStyle w:val="null3"/>
        <w:ind w:firstLine="480"/>
        <w:jc w:val="left"/>
      </w:pPr>
      <w:r>
        <w:rPr/>
        <w:t>（六）不同投标人的投标保证金从同一单位和账户转出。</w:t>
      </w:r>
    </w:p>
    <w:p>
      <w:pPr>
        <w:pStyle w:val="null3"/>
        <w:ind w:firstLine="480"/>
        <w:jc w:val="left"/>
      </w:pPr>
      <w:r>
        <w:rPr/>
        <w:t>二、提供虚假材料谋取中标；</w:t>
      </w:r>
    </w:p>
    <w:p>
      <w:pPr>
        <w:pStyle w:val="null3"/>
        <w:ind w:firstLine="480"/>
        <w:jc w:val="left"/>
      </w:pPr>
      <w:r>
        <w:rPr/>
        <w:t>三、采取不正当手段诋毁、排挤其他投标人；</w:t>
      </w:r>
    </w:p>
    <w:p>
      <w:pPr>
        <w:pStyle w:val="null3"/>
        <w:ind w:firstLine="480"/>
        <w:jc w:val="left"/>
      </w:pPr>
      <w:r>
        <w:rPr/>
        <w:t>四、与采购人或者代理机构、其他投标人恶意串通；</w:t>
      </w:r>
    </w:p>
    <w:p>
      <w:pPr>
        <w:pStyle w:val="null3"/>
        <w:ind w:firstLine="480"/>
        <w:jc w:val="left"/>
      </w:pPr>
      <w:r>
        <w:rPr/>
        <w:t>五、向采购人或者代理机构、评标委员会成员行贿或者提供其他不正当利益；</w:t>
      </w:r>
    </w:p>
    <w:p>
      <w:pPr>
        <w:pStyle w:val="null3"/>
        <w:ind w:firstLine="480"/>
        <w:jc w:val="left"/>
      </w:pPr>
      <w:r>
        <w:rPr/>
        <w:t>六、在招标过程中与采购人或者代理机构进行协商谈判；</w:t>
      </w:r>
    </w:p>
    <w:p>
      <w:pPr>
        <w:pStyle w:val="null3"/>
        <w:ind w:firstLine="480"/>
        <w:jc w:val="left"/>
      </w:pPr>
      <w:r>
        <w:rPr/>
        <w:t>七、中标后无正当理由拒不与采购人签订政府采购合同；</w:t>
      </w:r>
    </w:p>
    <w:p>
      <w:pPr>
        <w:pStyle w:val="null3"/>
        <w:ind w:firstLine="480"/>
        <w:jc w:val="left"/>
      </w:pPr>
      <w:r>
        <w:rPr/>
        <w:t>八、未按照招标文件确定的事项签订政府采购合同；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投标人有前述第一至六条情形的，认定其投标无效；中标人有前述第二至六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b/>
          <w:sz w:val="24"/>
        </w:rPr>
        <w:t>2.7.3.采购人员及相关人员回避要求</w:t>
      </w:r>
    </w:p>
    <w:p>
      <w:pPr>
        <w:pStyle w:val="null3"/>
        <w:ind w:firstLine="480"/>
        <w:jc w:val="left"/>
      </w:pPr>
      <w:r>
        <w:rPr/>
        <w:t>政府采购活动中，采购人员及相关人员与投标人有下列利害关系之一的，应当回避：</w:t>
      </w:r>
    </w:p>
    <w:p>
      <w:pPr>
        <w:pStyle w:val="null3"/>
        <w:ind w:firstLine="480"/>
        <w:jc w:val="left"/>
      </w:pPr>
      <w:r>
        <w:rPr/>
        <w:t>一、参加采购活动前3年内与投标人存在劳动关系；</w:t>
      </w:r>
    </w:p>
    <w:p>
      <w:pPr>
        <w:pStyle w:val="null3"/>
        <w:ind w:firstLine="480"/>
        <w:jc w:val="left"/>
      </w:pPr>
      <w:r>
        <w:rPr/>
        <w:t>二、参加采购活动前3年内担任投标人的董事、监事；</w:t>
      </w:r>
    </w:p>
    <w:p>
      <w:pPr>
        <w:pStyle w:val="null3"/>
        <w:ind w:firstLine="480"/>
        <w:jc w:val="left"/>
      </w:pPr>
      <w:r>
        <w:rPr/>
        <w:t>三、参加采购活动前3年内是投标人的控股股东或者实际控制人；</w:t>
      </w:r>
    </w:p>
    <w:p>
      <w:pPr>
        <w:pStyle w:val="null3"/>
        <w:ind w:firstLine="480"/>
        <w:jc w:val="left"/>
      </w:pPr>
      <w:r>
        <w:rPr/>
        <w:t>四、与投标人的法定代表人或者负责人有夫妻、直系血亲、三代以内旁系血亲或者近姻亲关系；</w:t>
      </w:r>
    </w:p>
    <w:p>
      <w:pPr>
        <w:pStyle w:val="null3"/>
        <w:ind w:firstLine="480"/>
        <w:jc w:val="left"/>
      </w:pPr>
      <w:r>
        <w:rPr/>
        <w:t>五、与投标人有其他可能影响政府采购活动公平、公正进行的关系。</w:t>
      </w:r>
    </w:p>
    <w:p>
      <w:pPr>
        <w:pStyle w:val="null3"/>
        <w:ind w:firstLine="480"/>
        <w:jc w:val="left"/>
      </w:pPr>
      <w:r>
        <w:rPr/>
        <w:t>投标人认为采购人员及相关人员与其他投标人有利害关系的，可以向代理机构书面提出回避申请，并说明理由。代理机构将及时询问被申请回避人员，有利害关系的被申请回避人员应当回避。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二、投标人询问、质疑的答复主体：</w:t>
      </w:r>
    </w:p>
    <w:p>
      <w:pPr>
        <w:pStyle w:val="null3"/>
        <w:ind w:firstLine="480"/>
        <w:jc w:val="left"/>
      </w:pPr>
      <w:r>
        <w:rPr/>
        <w:t xml:space="preserve">根据委托代理协议约定，投标人对招标文件中采购需求的询问、质疑由 </w:t>
      </w:r>
      <w:r>
        <w:rPr/>
        <w:t>成都市第八人民医院（成都市慢性病医院、成都市老年服务示训中心）</w:t>
      </w:r>
      <w:r>
        <w:rPr/>
        <w:t xml:space="preserve"> 负责答复；投标人对除采购需求外的招标文件的询问、质疑由 </w:t>
      </w:r>
      <w:r>
        <w:rPr/>
        <w:t>四川至诚至达工程咨询有限公司</w:t>
      </w:r>
      <w:r>
        <w:rPr/>
        <w:t xml:space="preserve"> 负责答复；投标人对采购过程、采购结果的询问、质疑由 </w:t>
      </w:r>
      <w:r>
        <w:rPr/>
        <w:t>四川至诚至达工程咨询有限公司</w:t>
      </w:r>
      <w:r>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t>答复主体：代理机构</w:t>
      </w:r>
    </w:p>
    <w:p>
      <w:pPr>
        <w:pStyle w:val="null3"/>
        <w:jc w:val="left"/>
      </w:pPr>
      <w:r>
        <w:rPr/>
        <w:t>联系人：张经理</w:t>
      </w:r>
    </w:p>
    <w:p>
      <w:pPr>
        <w:pStyle w:val="null3"/>
        <w:jc w:val="left"/>
      </w:pPr>
      <w:r>
        <w:rPr/>
        <w:t>联系电话：028-86051967</w:t>
      </w:r>
    </w:p>
    <w:p>
      <w:pPr>
        <w:pStyle w:val="null3"/>
        <w:jc w:val="left"/>
      </w:pPr>
      <w:r>
        <w:rPr/>
        <w:t>地址：成都市高新区盛和一路新南中心写字楼10F</w:t>
      </w:r>
    </w:p>
    <w:p>
      <w:pPr>
        <w:pStyle w:val="null3"/>
        <w:jc w:val="left"/>
      </w:pPr>
      <w:r>
        <w:rPr/>
        <w:t>邮编：610000</w:t>
      </w:r>
    </w:p>
    <w:p>
      <w:pPr>
        <w:pStyle w:val="null3"/>
        <w:ind w:firstLine="480"/>
        <w:jc w:val="left"/>
      </w:pPr>
      <w:r>
        <w:rPr/>
        <w:t>三、投标人提出的询问，应当明确询问事项，如以书面形式提出的，应由投标人签字并加盖公章。</w:t>
      </w:r>
    </w:p>
    <w:p>
      <w:pPr>
        <w:pStyle w:val="null3"/>
        <w:ind w:firstLine="480"/>
        <w:jc w:val="left"/>
      </w:pPr>
      <w:r>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t>（一）对可以质疑的招标文件提出质疑的，为收到招标文件之日或者招标文件公告期限届满之日；</w:t>
      </w:r>
    </w:p>
    <w:p>
      <w:pPr>
        <w:pStyle w:val="null3"/>
        <w:ind w:firstLine="480"/>
        <w:jc w:val="left"/>
      </w:pPr>
      <w:r>
        <w:rPr/>
        <w:t>（二）对采购过程提出质疑的，为各采购程序环节结束之日；</w:t>
      </w:r>
    </w:p>
    <w:p>
      <w:pPr>
        <w:pStyle w:val="null3"/>
        <w:ind w:firstLine="480"/>
        <w:jc w:val="left"/>
      </w:pPr>
      <w:r>
        <w:rPr/>
        <w:t>（三）对中标或者成交结果提出质疑的，为中标或者成交结果公告期限届满之日。</w:t>
      </w:r>
    </w:p>
    <w:p>
      <w:pPr>
        <w:pStyle w:val="null3"/>
        <w:ind w:firstLine="480"/>
        <w:jc w:val="left"/>
      </w:pPr>
      <w:r>
        <w:rPr/>
        <w:t>五、投标人通过书面形式线下向采购人或者代理机构提交质疑资料。</w:t>
      </w:r>
    </w:p>
    <w:p>
      <w:pPr>
        <w:pStyle w:val="null3"/>
        <w:ind w:firstLine="480"/>
        <w:jc w:val="left"/>
      </w:pPr>
      <w:r>
        <w:rPr/>
        <w:t>六、投标人提出质疑时应当准备的资料</w:t>
      </w:r>
    </w:p>
    <w:p>
      <w:pPr>
        <w:pStyle w:val="null3"/>
        <w:ind w:firstLine="480"/>
        <w:jc w:val="left"/>
      </w:pPr>
      <w:r>
        <w:rPr/>
        <w:t>（一）质疑函正本1份；（政府采购投标人质疑函范本可在四川政府采购网下载专区下载）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（五）针对质疑事项必要的证明材料（针对招标文件提出的质疑，需提交从交易系统获取的招标文件回执单）。</w:t>
      </w:r>
    </w:p>
    <w:p>
      <w:pPr>
        <w:pStyle w:val="null3"/>
        <w:ind w:firstLine="480"/>
        <w:jc w:val="left"/>
      </w:pPr>
      <w:r>
        <w:rPr/>
        <w:t>注：根据《中华人民共和国政府采购法》的规定，投标人质疑不得超出招标文件、采购过程、采购结果的范围。</w:t>
      </w:r>
    </w:p>
    <w:p>
      <w:pPr>
        <w:pStyle w:val="null3"/>
        <w:ind w:firstLine="480"/>
        <w:jc w:val="left"/>
      </w:pPr>
      <w:r>
        <w:rPr/>
        <w:t>七、投标人对采购人或者代理机构的质疑答复不满意，或者采购人或者代理机构未在规定期限内作出答复的，投标人可以在答复期满后15个工作日内向同级财政部门提起投诉。（政府采购投标人投诉书范本可在四川政府采购网下载专区下载）</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（三）以非法手段取得证明材料。证据来源的合法性存在明显疑问，投标人无法证明其取得方式合法的，视为以非法手段取得证明材料。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群或者开评标专线电话进行反馈。</w:t>
      </w:r>
    </w:p>
    <w:p>
      <w:pPr>
        <w:pStyle w:val="null3"/>
        <w:ind w:firstLine="480"/>
        <w:jc w:val="left"/>
      </w:pPr>
      <w:r>
        <w:rPr/>
        <w:t>平台运维单位负责采购平台系统故障的排查认定，对认定为采购平台系统故障的，通过四川政府采购网发布运维通知，明确故障类型、故障期间、影响范围、处理意见。故障排除后，采购人、代理机构应当依据系统故障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采购包1：本采购包无需提交样品</w:t>
      </w:r>
    </w:p>
    <w:p>
      <w:pPr>
        <w:pStyle w:val="null3"/>
        <w:jc w:val="left"/>
      </w:pPr>
      <w:r>
        <w:rPr/>
        <w:t>采购包2：本采购包无需提交样品</w:t>
      </w:r>
    </w:p>
    <w:p>
      <w:pPr>
        <w:pStyle w:val="null3"/>
        <w:ind w:firstLine="480"/>
        <w:jc w:val="left"/>
      </w:pPr>
      <w:r>
        <w:rPr/>
        <w:t>要求提供样品评审的项目，样品评审环节采取线下方式进行。</w:t>
      </w:r>
    </w:p>
    <w:p>
      <w:pPr>
        <w:pStyle w:val="null3"/>
        <w:ind w:firstLine="480"/>
        <w:jc w:val="left"/>
      </w:pPr>
      <w:r>
        <w:rPr/>
        <w:t>采购人或者代理机构应当在招标文件中明确线下开展采购活动的规则和方式，不得对投标人实行差别待遇或者歧视性待遇。线下采购活动应当全过程录音录像，形成书面评审记录上传至交易系统。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3.1.采购项目概况</w:t>
      </w:r>
    </w:p>
    <w:p>
      <w:pPr>
        <w:pStyle w:val="null3"/>
        <w:ind w:firstLine="480"/>
        <w:jc w:val="left"/>
      </w:pPr>
      <w:r>
        <w:rPr/>
        <w:t>本项目为成都市第八人民医院医疗设备采购项目,分为两个包，第1包最高限价：114.4万元；第2包最高限价：36万元。</w:t>
      </w:r>
    </w:p>
    <w:p>
      <w:pPr>
        <w:pStyle w:val="null3"/>
        <w:jc w:val="left"/>
        <w:outlineLvl w:val="2"/>
      </w:pPr>
      <w:r>
        <w:rPr>
          <w:b/>
          <w:sz w:val="28"/>
        </w:rPr>
        <w:t>3.2.采购内容</w:t>
      </w:r>
    </w:p>
    <w:p>
      <w:pPr>
        <w:pStyle w:val="null3"/>
        <w:jc w:val="left"/>
      </w:pPr>
      <w:r>
        <w:rPr/>
        <w:t>采购包1：</w:t>
      </w:r>
    </w:p>
    <w:p>
      <w:pPr>
        <w:pStyle w:val="null3"/>
        <w:jc w:val="left"/>
      </w:pPr>
      <w:r>
        <w:rPr/>
        <w:t>采购包预算金额（元）: 1,144,000.00</w:t>
      </w:r>
    </w:p>
    <w:p>
      <w:pPr>
        <w:pStyle w:val="null3"/>
        <w:jc w:val="left"/>
      </w:pPr>
      <w:r>
        <w:rPr/>
        <w:t>采购包最高限价（元）: 1,144,000.00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left"/>
            </w:pPr>
            <w:r>
              <w:rPr/>
              <w:t>序号</w:t>
            </w:r>
          </w:p>
        </w:tc>
        <w:tc>
          <w:tcPr>
            <w:tcW w:type="dxa" w:w="821"/>
          </w:tcPr>
          <w:p>
            <w:pPr>
              <w:pStyle w:val="null3"/>
              <w:jc w:val="left"/>
            </w:pPr>
            <w:r>
              <w:rPr/>
              <w:t>采购品目名称</w:t>
            </w:r>
          </w:p>
        </w:tc>
        <w:tc>
          <w:tcPr>
            <w:tcW w:type="dxa" w:w="821"/>
          </w:tcPr>
          <w:p>
            <w:pPr>
              <w:pStyle w:val="null3"/>
              <w:jc w:val="left"/>
            </w:pPr>
            <w:r>
              <w:rPr/>
              <w:t>标的名称</w:t>
            </w:r>
          </w:p>
        </w:tc>
        <w:tc>
          <w:tcPr>
            <w:tcW w:type="dxa" w:w="821"/>
          </w:tcPr>
          <w:p>
            <w:pPr>
              <w:pStyle w:val="null3"/>
              <w:jc w:val="left"/>
            </w:pPr>
            <w:r>
              <w:rPr/>
              <w:t>数量</w:t>
            </w:r>
          </w:p>
        </w:tc>
        <w:tc>
          <w:tcPr>
            <w:tcW w:type="dxa" w:w="821"/>
          </w:tcPr>
          <w:p>
            <w:pPr>
              <w:pStyle w:val="null3"/>
              <w:jc w:val="left"/>
            </w:pPr>
            <w:r>
              <w:rPr/>
              <w:t>标的金额 （元）</w:t>
            </w:r>
          </w:p>
        </w:tc>
        <w:tc>
          <w:tcPr>
            <w:tcW w:type="dxa" w:w="821"/>
          </w:tcPr>
          <w:p>
            <w:pPr>
              <w:pStyle w:val="null3"/>
              <w:jc w:val="left"/>
            </w:pPr>
            <w:r>
              <w:rPr/>
              <w:t>所属行业</w:t>
            </w:r>
          </w:p>
        </w:tc>
        <w:tc>
          <w:tcPr>
            <w:tcW w:type="dxa" w:w="821"/>
          </w:tcPr>
          <w:p>
            <w:pPr>
              <w:pStyle w:val="null3"/>
              <w:jc w:val="left"/>
            </w:pPr>
            <w:r>
              <w:rPr/>
              <w:t>是否涉及核心产品</w:t>
            </w:r>
          </w:p>
        </w:tc>
        <w:tc>
          <w:tcPr>
            <w:tcW w:type="dxa" w:w="821"/>
          </w:tcPr>
          <w:p>
            <w:pPr>
              <w:pStyle w:val="null3"/>
              <w:jc w:val="left"/>
            </w:pPr>
            <w:r>
              <w:rPr/>
              <w:t>是否涉及采购进口产品</w:t>
            </w:r>
          </w:p>
        </w:tc>
        <w:tc>
          <w:tcPr>
            <w:tcW w:type="dxa" w:w="821"/>
          </w:tcPr>
          <w:p>
            <w:pPr>
              <w:pStyle w:val="null3"/>
              <w:jc w:val="left"/>
            </w:pPr>
            <w:r>
              <w:rPr/>
              <w:t>是否涉及强制采购节能产品</w:t>
            </w:r>
          </w:p>
        </w:tc>
        <w:tc>
          <w:tcPr>
            <w:tcW w:type="dxa" w:w="639"/>
          </w:tcPr>
          <w:p>
            <w:pPr>
              <w:pStyle w:val="null3"/>
              <w:jc w:val="left"/>
            </w:pPr>
            <w:r>
              <w:rPr/>
              <w:t>是否涉及优先采购节能产品</w:t>
            </w:r>
          </w:p>
        </w:tc>
        <w:tc>
          <w:tcPr>
            <w:tcW w:type="dxa" w:w="639"/>
          </w:tcPr>
          <w:p>
            <w:pPr>
              <w:pStyle w:val="null3"/>
              <w:jc w:val="left"/>
            </w:pPr>
            <w:r>
              <w:rPr/>
              <w:t>是否涉及优先采购环境标志产品</w:t>
            </w:r>
          </w:p>
        </w:tc>
      </w:tr>
      <w:tr>
        <w:tc>
          <w:tcPr>
            <w:tcW w:type="dxa" w:w="456"/>
          </w:tcPr>
          <w:p>
            <w:pPr>
              <w:pStyle w:val="null3"/>
              <w:jc w:val="left"/>
            </w:pPr>
            <w:r>
              <w:rPr/>
              <w:t>1</w:t>
            </w:r>
          </w:p>
        </w:tc>
        <w:tc>
          <w:tcPr>
            <w:tcW w:type="dxa" w:w="821"/>
          </w:tcPr>
          <w:p>
            <w:pPr>
              <w:pStyle w:val="null3"/>
              <w:jc w:val="left"/>
            </w:pPr>
            <w:r>
              <w:rPr/>
              <w:t>病房护理及医院设备</w:t>
            </w:r>
          </w:p>
        </w:tc>
        <w:tc>
          <w:tcPr>
            <w:tcW w:type="dxa" w:w="821"/>
          </w:tcPr>
          <w:p>
            <w:pPr>
              <w:pStyle w:val="null3"/>
              <w:jc w:val="left"/>
            </w:pPr>
            <w:r>
              <w:rPr/>
              <w:t>输液工作站</w:t>
            </w:r>
          </w:p>
        </w:tc>
        <w:tc>
          <w:tcPr>
            <w:tcW w:type="dxa" w:w="821"/>
          </w:tcPr>
          <w:p>
            <w:pPr>
              <w:pStyle w:val="null3"/>
              <w:jc w:val="right"/>
            </w:pPr>
            <w:r>
              <w:rPr/>
              <w:t>13.00（套）</w:t>
            </w:r>
          </w:p>
        </w:tc>
        <w:tc>
          <w:tcPr>
            <w:tcW w:type="dxa" w:w="821"/>
          </w:tcPr>
          <w:p>
            <w:pPr>
              <w:pStyle w:val="null3"/>
              <w:jc w:val="right"/>
            </w:pPr>
            <w:r>
              <w:rPr/>
              <w:t>1,144,000.00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pPr>
      <w:r>
        <w:rPr/>
        <w:t>采购包2：</w:t>
      </w:r>
    </w:p>
    <w:p>
      <w:pPr>
        <w:pStyle w:val="null3"/>
        <w:jc w:val="left"/>
      </w:pPr>
      <w:r>
        <w:rPr/>
        <w:t>采购包预算金额（元）: 360,000.00</w:t>
      </w:r>
    </w:p>
    <w:p>
      <w:pPr>
        <w:pStyle w:val="null3"/>
        <w:jc w:val="left"/>
      </w:pPr>
      <w:r>
        <w:rPr/>
        <w:t>采购包最高限价（元）: 360,000.00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left"/>
            </w:pPr>
            <w:r>
              <w:rPr/>
              <w:t>序号</w:t>
            </w:r>
          </w:p>
        </w:tc>
        <w:tc>
          <w:tcPr>
            <w:tcW w:type="dxa" w:w="821"/>
          </w:tcPr>
          <w:p>
            <w:pPr>
              <w:pStyle w:val="null3"/>
              <w:jc w:val="left"/>
            </w:pPr>
            <w:r>
              <w:rPr/>
              <w:t>采购品目名称</w:t>
            </w:r>
          </w:p>
        </w:tc>
        <w:tc>
          <w:tcPr>
            <w:tcW w:type="dxa" w:w="821"/>
          </w:tcPr>
          <w:p>
            <w:pPr>
              <w:pStyle w:val="null3"/>
              <w:jc w:val="left"/>
            </w:pPr>
            <w:r>
              <w:rPr/>
              <w:t>标的名称</w:t>
            </w:r>
          </w:p>
        </w:tc>
        <w:tc>
          <w:tcPr>
            <w:tcW w:type="dxa" w:w="821"/>
          </w:tcPr>
          <w:p>
            <w:pPr>
              <w:pStyle w:val="null3"/>
              <w:jc w:val="left"/>
            </w:pPr>
            <w:r>
              <w:rPr/>
              <w:t>数量</w:t>
            </w:r>
          </w:p>
        </w:tc>
        <w:tc>
          <w:tcPr>
            <w:tcW w:type="dxa" w:w="821"/>
          </w:tcPr>
          <w:p>
            <w:pPr>
              <w:pStyle w:val="null3"/>
              <w:jc w:val="left"/>
            </w:pPr>
            <w:r>
              <w:rPr/>
              <w:t>标的金额 （元）</w:t>
            </w:r>
          </w:p>
        </w:tc>
        <w:tc>
          <w:tcPr>
            <w:tcW w:type="dxa" w:w="821"/>
          </w:tcPr>
          <w:p>
            <w:pPr>
              <w:pStyle w:val="null3"/>
              <w:jc w:val="left"/>
            </w:pPr>
            <w:r>
              <w:rPr/>
              <w:t>所属行业</w:t>
            </w:r>
          </w:p>
        </w:tc>
        <w:tc>
          <w:tcPr>
            <w:tcW w:type="dxa" w:w="821"/>
          </w:tcPr>
          <w:p>
            <w:pPr>
              <w:pStyle w:val="null3"/>
              <w:jc w:val="left"/>
            </w:pPr>
            <w:r>
              <w:rPr/>
              <w:t>是否涉及核心产品</w:t>
            </w:r>
          </w:p>
        </w:tc>
        <w:tc>
          <w:tcPr>
            <w:tcW w:type="dxa" w:w="821"/>
          </w:tcPr>
          <w:p>
            <w:pPr>
              <w:pStyle w:val="null3"/>
              <w:jc w:val="left"/>
            </w:pPr>
            <w:r>
              <w:rPr/>
              <w:t>是否涉及采购进口产品</w:t>
            </w:r>
          </w:p>
        </w:tc>
        <w:tc>
          <w:tcPr>
            <w:tcW w:type="dxa" w:w="821"/>
          </w:tcPr>
          <w:p>
            <w:pPr>
              <w:pStyle w:val="null3"/>
              <w:jc w:val="left"/>
            </w:pPr>
            <w:r>
              <w:rPr/>
              <w:t>是否涉及强制采购节能产品</w:t>
            </w:r>
          </w:p>
        </w:tc>
        <w:tc>
          <w:tcPr>
            <w:tcW w:type="dxa" w:w="639"/>
          </w:tcPr>
          <w:p>
            <w:pPr>
              <w:pStyle w:val="null3"/>
              <w:jc w:val="left"/>
            </w:pPr>
            <w:r>
              <w:rPr/>
              <w:t>是否涉及优先采购节能产品</w:t>
            </w:r>
          </w:p>
        </w:tc>
        <w:tc>
          <w:tcPr>
            <w:tcW w:type="dxa" w:w="639"/>
          </w:tcPr>
          <w:p>
            <w:pPr>
              <w:pStyle w:val="null3"/>
              <w:jc w:val="left"/>
            </w:pPr>
            <w:r>
              <w:rPr/>
              <w:t>是否涉及优先采购环境标志产品</w:t>
            </w:r>
          </w:p>
        </w:tc>
      </w:tr>
      <w:tr>
        <w:tc>
          <w:tcPr>
            <w:tcW w:type="dxa" w:w="456"/>
          </w:tcPr>
          <w:p>
            <w:pPr>
              <w:pStyle w:val="null3"/>
              <w:jc w:val="left"/>
            </w:pPr>
            <w:r>
              <w:rPr/>
              <w:t>1</w:t>
            </w:r>
          </w:p>
        </w:tc>
        <w:tc>
          <w:tcPr>
            <w:tcW w:type="dxa" w:w="821"/>
          </w:tcPr>
          <w:p>
            <w:pPr>
              <w:pStyle w:val="null3"/>
              <w:jc w:val="left"/>
            </w:pPr>
            <w:r>
              <w:rPr/>
              <w:t>医用电子生理参数检测仪器设备</w:t>
            </w:r>
          </w:p>
        </w:tc>
        <w:tc>
          <w:tcPr>
            <w:tcW w:type="dxa" w:w="821"/>
          </w:tcPr>
          <w:p>
            <w:pPr>
              <w:pStyle w:val="null3"/>
              <w:jc w:val="left"/>
            </w:pPr>
            <w:r>
              <w:rPr/>
              <w:t>心电监护仪</w:t>
            </w:r>
          </w:p>
        </w:tc>
        <w:tc>
          <w:tcPr>
            <w:tcW w:type="dxa" w:w="821"/>
          </w:tcPr>
          <w:p>
            <w:pPr>
              <w:pStyle w:val="null3"/>
              <w:jc w:val="right"/>
            </w:pPr>
            <w:r>
              <w:rPr/>
              <w:t>10.00（台）</w:t>
            </w:r>
          </w:p>
        </w:tc>
        <w:tc>
          <w:tcPr>
            <w:tcW w:type="dxa" w:w="821"/>
          </w:tcPr>
          <w:p>
            <w:pPr>
              <w:pStyle w:val="null3"/>
              <w:jc w:val="right"/>
            </w:pPr>
            <w:r>
              <w:rPr/>
              <w:t>110,000.00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医用内窥镜</w:t>
            </w:r>
          </w:p>
        </w:tc>
        <w:tc>
          <w:tcPr>
            <w:tcW w:type="dxa" w:w="821"/>
          </w:tcPr>
          <w:p>
            <w:pPr>
              <w:pStyle w:val="null3"/>
              <w:jc w:val="left"/>
            </w:pPr>
            <w:r>
              <w:rPr/>
              <w:t>纤维支气管镜</w:t>
            </w:r>
          </w:p>
        </w:tc>
        <w:tc>
          <w:tcPr>
            <w:tcW w:type="dxa" w:w="821"/>
          </w:tcPr>
          <w:p>
            <w:pPr>
              <w:pStyle w:val="null3"/>
              <w:jc w:val="right"/>
            </w:pPr>
            <w:r>
              <w:rPr/>
              <w:t>2.00（套）</w:t>
            </w:r>
          </w:p>
        </w:tc>
        <w:tc>
          <w:tcPr>
            <w:tcW w:type="dxa" w:w="821"/>
          </w:tcPr>
          <w:p>
            <w:pPr>
              <w:pStyle w:val="null3"/>
              <w:jc w:val="right"/>
            </w:pPr>
            <w:r>
              <w:rPr/>
              <w:t>200,000.00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医用超声波仪器及设备</w:t>
            </w:r>
          </w:p>
        </w:tc>
        <w:tc>
          <w:tcPr>
            <w:tcW w:type="dxa" w:w="821"/>
          </w:tcPr>
          <w:p>
            <w:pPr>
              <w:pStyle w:val="null3"/>
              <w:jc w:val="left"/>
            </w:pPr>
            <w:r>
              <w:rPr/>
              <w:t>超声波治疗仪</w:t>
            </w:r>
          </w:p>
        </w:tc>
        <w:tc>
          <w:tcPr>
            <w:tcW w:type="dxa" w:w="821"/>
          </w:tcPr>
          <w:p>
            <w:pPr>
              <w:pStyle w:val="null3"/>
              <w:jc w:val="right"/>
            </w:pPr>
            <w:r>
              <w:rPr/>
              <w:t>1.00（台）</w:t>
            </w:r>
          </w:p>
        </w:tc>
        <w:tc>
          <w:tcPr>
            <w:tcW w:type="dxa" w:w="821"/>
          </w:tcPr>
          <w:p>
            <w:pPr>
              <w:pStyle w:val="null3"/>
              <w:jc w:val="right"/>
            </w:pPr>
            <w:r>
              <w:rPr/>
              <w:t>50,000.00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ind w:firstLine="480"/>
        <w:jc w:val="left"/>
        <w:outlineLvl w:val="3"/>
      </w:pPr>
      <w:r>
        <w:rPr>
          <w:b/>
          <w:sz w:val="24"/>
        </w:rPr>
        <w:t>报价要求</w:t>
      </w:r>
    </w:p>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left"/>
            </w:pPr>
            <w:r>
              <w:rPr/>
              <w:t>序号</w:t>
            </w:r>
          </w:p>
        </w:tc>
        <w:tc>
          <w:tcPr>
            <w:tcW w:type="dxa" w:w="1466"/>
          </w:tcPr>
          <w:p>
            <w:pPr>
              <w:pStyle w:val="null3"/>
              <w:jc w:val="left"/>
            </w:pPr>
            <w:r>
              <w:rPr/>
              <w:t>报价内容</w:t>
            </w:r>
          </w:p>
        </w:tc>
        <w:tc>
          <w:tcPr>
            <w:tcW w:type="dxa" w:w="977"/>
          </w:tcPr>
          <w:p>
            <w:pPr>
              <w:pStyle w:val="null3"/>
              <w:jc w:val="left"/>
            </w:pPr>
            <w:r>
              <w:rPr/>
              <w:t>数量</w:t>
            </w:r>
          </w:p>
        </w:tc>
        <w:tc>
          <w:tcPr>
            <w:tcW w:type="dxa" w:w="1173"/>
          </w:tcPr>
          <w:p>
            <w:pPr>
              <w:pStyle w:val="null3"/>
              <w:jc w:val="left"/>
            </w:pPr>
            <w:r>
              <w:rPr/>
              <w:t>单价</w:t>
            </w:r>
          </w:p>
        </w:tc>
        <w:tc>
          <w:tcPr>
            <w:tcW w:type="dxa" w:w="1173"/>
          </w:tcPr>
          <w:p>
            <w:pPr>
              <w:pStyle w:val="null3"/>
              <w:jc w:val="left"/>
            </w:pPr>
            <w:r>
              <w:rPr/>
              <w:t>最高限价</w:t>
            </w:r>
          </w:p>
        </w:tc>
        <w:tc>
          <w:tcPr>
            <w:tcW w:type="dxa" w:w="977"/>
          </w:tcPr>
          <w:p>
            <w:pPr>
              <w:pStyle w:val="null3"/>
              <w:jc w:val="left"/>
            </w:pPr>
            <w:r>
              <w:rPr/>
              <w:t>价款形式</w:t>
            </w:r>
          </w:p>
        </w:tc>
        <w:tc>
          <w:tcPr>
            <w:tcW w:type="dxa" w:w="1661"/>
          </w:tcPr>
          <w:p>
            <w:pPr>
              <w:pStyle w:val="null3"/>
              <w:jc w:val="left"/>
            </w:pPr>
            <w:r>
              <w:rPr/>
              <w:t>报价说明</w:t>
            </w:r>
          </w:p>
        </w:tc>
      </w:tr>
      <w:tr>
        <w:tc>
          <w:tcPr>
            <w:tcW w:type="dxa" w:w="879"/>
          </w:tcPr>
          <w:p>
            <w:pPr>
              <w:pStyle w:val="null3"/>
              <w:jc w:val="left"/>
            </w:pPr>
            <w:r>
              <w:rPr/>
              <w:t>1</w:t>
            </w:r>
          </w:p>
        </w:tc>
        <w:tc>
          <w:tcPr>
            <w:tcW w:type="dxa" w:w="1466"/>
          </w:tcPr>
          <w:p>
            <w:pPr>
              <w:pStyle w:val="null3"/>
              <w:jc w:val="left"/>
            </w:pPr>
            <w:r>
              <w:rPr/>
              <w:t>输液工作站</w:t>
            </w:r>
          </w:p>
        </w:tc>
        <w:tc>
          <w:tcPr>
            <w:tcW w:type="dxa" w:w="977"/>
          </w:tcPr>
          <w:p>
            <w:pPr>
              <w:pStyle w:val="null3"/>
              <w:jc w:val="right"/>
            </w:pPr>
            <w:r>
              <w:rPr/>
              <w:t>13.00（套）</w:t>
            </w:r>
          </w:p>
        </w:tc>
        <w:tc>
          <w:tcPr>
            <w:tcW w:type="dxa" w:w="1173"/>
          </w:tcPr>
          <w:p>
            <w:pPr>
              <w:pStyle w:val="null3"/>
              <w:jc w:val="right"/>
            </w:pPr>
            <w:r>
              <w:rPr/>
              <w:t>88,000.00（元）</w:t>
            </w:r>
          </w:p>
        </w:tc>
        <w:tc>
          <w:tcPr>
            <w:tcW w:type="dxa" w:w="1173"/>
          </w:tcPr>
          <w:p>
            <w:pPr>
              <w:pStyle w:val="null3"/>
              <w:jc w:val="right"/>
            </w:pPr>
            <w:r>
              <w:rPr/>
              <w:t>1,144,000.00</w:t>
            </w:r>
          </w:p>
        </w:tc>
        <w:tc>
          <w:tcPr>
            <w:tcW w:type="dxa" w:w="977"/>
          </w:tcPr>
          <w:p>
            <w:pPr>
              <w:pStyle w:val="null3"/>
              <w:jc w:val="left"/>
            </w:pPr>
            <w:r>
              <w:rPr/>
              <w:t>总价</w:t>
            </w:r>
          </w:p>
        </w:tc>
        <w:tc>
          <w:tcPr>
            <w:tcW w:type="dxa" w:w="1661"/>
          </w:tcPr>
          <w:p>
            <w:pPr>
              <w:pStyle w:val="null3"/>
              <w:jc w:val="left"/>
            </w:pPr>
            <w:r>
              <w:rPr/>
              <w:t>无</w:t>
            </w:r>
          </w:p>
        </w:tc>
      </w:tr>
    </w:tbl>
    <w:p>
      <w:pPr>
        <w:pStyle w:val="null3"/>
        <w:jc w:val="left"/>
      </w:pPr>
      <w:r>
        <w:rPr/>
        <w:t>采购包2：</w:t>
      </w:r>
    </w:p>
    <w:p>
      <w:pPr>
        <w:pStyle w:val="null3"/>
        <w:jc w:val="left"/>
      </w:pPr>
      <w:r>
        <w:rPr/>
        <w:t>（1）报价要求：</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left"/>
            </w:pPr>
            <w:r>
              <w:rPr/>
              <w:t>序号</w:t>
            </w:r>
          </w:p>
        </w:tc>
        <w:tc>
          <w:tcPr>
            <w:tcW w:type="dxa" w:w="1466"/>
          </w:tcPr>
          <w:p>
            <w:pPr>
              <w:pStyle w:val="null3"/>
              <w:jc w:val="left"/>
            </w:pPr>
            <w:r>
              <w:rPr/>
              <w:t>报价内容</w:t>
            </w:r>
          </w:p>
        </w:tc>
        <w:tc>
          <w:tcPr>
            <w:tcW w:type="dxa" w:w="977"/>
          </w:tcPr>
          <w:p>
            <w:pPr>
              <w:pStyle w:val="null3"/>
              <w:jc w:val="left"/>
            </w:pPr>
            <w:r>
              <w:rPr/>
              <w:t>数量</w:t>
            </w:r>
          </w:p>
        </w:tc>
        <w:tc>
          <w:tcPr>
            <w:tcW w:type="dxa" w:w="1173"/>
          </w:tcPr>
          <w:p>
            <w:pPr>
              <w:pStyle w:val="null3"/>
              <w:jc w:val="left"/>
            </w:pPr>
            <w:r>
              <w:rPr/>
              <w:t>单价</w:t>
            </w:r>
          </w:p>
        </w:tc>
        <w:tc>
          <w:tcPr>
            <w:tcW w:type="dxa" w:w="1173"/>
          </w:tcPr>
          <w:p>
            <w:pPr>
              <w:pStyle w:val="null3"/>
              <w:jc w:val="left"/>
            </w:pPr>
            <w:r>
              <w:rPr/>
              <w:t>最高限价</w:t>
            </w:r>
          </w:p>
        </w:tc>
        <w:tc>
          <w:tcPr>
            <w:tcW w:type="dxa" w:w="977"/>
          </w:tcPr>
          <w:p>
            <w:pPr>
              <w:pStyle w:val="null3"/>
              <w:jc w:val="left"/>
            </w:pPr>
            <w:r>
              <w:rPr/>
              <w:t>价款形式</w:t>
            </w:r>
          </w:p>
        </w:tc>
        <w:tc>
          <w:tcPr>
            <w:tcW w:type="dxa" w:w="1661"/>
          </w:tcPr>
          <w:p>
            <w:pPr>
              <w:pStyle w:val="null3"/>
              <w:jc w:val="left"/>
            </w:pPr>
            <w:r>
              <w:rPr/>
              <w:t>报价说明</w:t>
            </w:r>
          </w:p>
        </w:tc>
      </w:tr>
      <w:tr>
        <w:tc>
          <w:tcPr>
            <w:tcW w:type="dxa" w:w="879"/>
          </w:tcPr>
          <w:p>
            <w:pPr>
              <w:pStyle w:val="null3"/>
              <w:jc w:val="left"/>
            </w:pPr>
            <w:r>
              <w:rPr/>
              <w:t>1</w:t>
            </w:r>
          </w:p>
        </w:tc>
        <w:tc>
          <w:tcPr>
            <w:tcW w:type="dxa" w:w="1466"/>
          </w:tcPr>
          <w:p>
            <w:pPr>
              <w:pStyle w:val="null3"/>
              <w:jc w:val="left"/>
            </w:pPr>
            <w:r>
              <w:rPr/>
              <w:t>心电监护仪</w:t>
            </w:r>
          </w:p>
        </w:tc>
        <w:tc>
          <w:tcPr>
            <w:tcW w:type="dxa" w:w="977"/>
          </w:tcPr>
          <w:p>
            <w:pPr>
              <w:pStyle w:val="null3"/>
              <w:jc w:val="right"/>
            </w:pPr>
            <w:r>
              <w:rPr/>
              <w:t>10.00（台）</w:t>
            </w:r>
          </w:p>
        </w:tc>
        <w:tc>
          <w:tcPr>
            <w:tcW w:type="dxa" w:w="1173"/>
          </w:tcPr>
          <w:p>
            <w:pPr>
              <w:pStyle w:val="null3"/>
              <w:jc w:val="right"/>
            </w:pPr>
            <w:r>
              <w:rPr/>
              <w:t>11,000.00（元）</w:t>
            </w:r>
          </w:p>
        </w:tc>
        <w:tc>
          <w:tcPr>
            <w:tcW w:type="dxa" w:w="1173"/>
          </w:tcPr>
          <w:p>
            <w:pPr>
              <w:pStyle w:val="null3"/>
              <w:jc w:val="right"/>
            </w:pPr>
            <w:r>
              <w:rPr/>
              <w:t>110,000.00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纤维支气管镜</w:t>
            </w:r>
          </w:p>
        </w:tc>
        <w:tc>
          <w:tcPr>
            <w:tcW w:type="dxa" w:w="977"/>
          </w:tcPr>
          <w:p>
            <w:pPr>
              <w:pStyle w:val="null3"/>
              <w:jc w:val="right"/>
            </w:pPr>
            <w:r>
              <w:rPr/>
              <w:t>2.00（套）</w:t>
            </w:r>
          </w:p>
        </w:tc>
        <w:tc>
          <w:tcPr>
            <w:tcW w:type="dxa" w:w="1173"/>
          </w:tcPr>
          <w:p>
            <w:pPr>
              <w:pStyle w:val="null3"/>
              <w:jc w:val="right"/>
            </w:pPr>
            <w:r>
              <w:rPr/>
              <w:t>100,000.00（元）</w:t>
            </w:r>
          </w:p>
        </w:tc>
        <w:tc>
          <w:tcPr>
            <w:tcW w:type="dxa" w:w="1173"/>
          </w:tcPr>
          <w:p>
            <w:pPr>
              <w:pStyle w:val="null3"/>
              <w:jc w:val="right"/>
            </w:pPr>
            <w:r>
              <w:rPr/>
              <w:t>200,000.00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超声波治疗仪</w:t>
            </w:r>
          </w:p>
        </w:tc>
        <w:tc>
          <w:tcPr>
            <w:tcW w:type="dxa" w:w="977"/>
          </w:tcPr>
          <w:p>
            <w:pPr>
              <w:pStyle w:val="null3"/>
              <w:jc w:val="right"/>
            </w:pPr>
            <w:r>
              <w:rPr/>
              <w:t>1.00（台）</w:t>
            </w:r>
          </w:p>
        </w:tc>
        <w:tc>
          <w:tcPr>
            <w:tcW w:type="dxa" w:w="1173"/>
          </w:tcPr>
          <w:p>
            <w:pPr>
              <w:pStyle w:val="null3"/>
              <w:jc w:val="right"/>
            </w:pPr>
            <w:r>
              <w:rPr/>
              <w:t>50,000.00（元）</w:t>
            </w:r>
          </w:p>
        </w:tc>
        <w:tc>
          <w:tcPr>
            <w:tcW w:type="dxa" w:w="1173"/>
          </w:tcPr>
          <w:p>
            <w:pPr>
              <w:pStyle w:val="null3"/>
              <w:jc w:val="right"/>
            </w:pPr>
            <w:r>
              <w:rPr/>
              <w:t>50,000.00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★注：供应商响应产品应当明确品牌和规格型号并指向唯一产品，不能指向唯一产品的，应通过报价表备注栏补充说明。</w:t>
      </w:r>
    </w:p>
    <w:p>
      <w:pPr>
        <w:pStyle w:val="null3"/>
        <w:ind w:firstLine="480"/>
        <w:jc w:val="left"/>
        <w:outlineLvl w:val="3"/>
      </w:pPr>
      <w:r>
        <w:rPr>
          <w:b/>
          <w:sz w:val="24"/>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1"/>
          </w:tcPr>
          <w:p>
            <w:pPr>
              <w:pStyle w:val="null3"/>
              <w:jc w:val="left"/>
            </w:pPr>
            <w:r>
              <w:rPr/>
              <w:t>1</w:t>
            </w:r>
          </w:p>
        </w:tc>
        <w:tc>
          <w:tcPr>
            <w:tcW w:type="dxa" w:w="2492"/>
          </w:tcPr>
          <w:p>
            <w:pPr>
              <w:pStyle w:val="null3"/>
              <w:jc w:val="left"/>
            </w:pPr>
            <w:r>
              <w:rPr/>
              <w:t>病房护理及医院设备</w:t>
            </w:r>
          </w:p>
        </w:tc>
        <w:tc>
          <w:tcPr>
            <w:tcW w:type="dxa" w:w="2492"/>
          </w:tcPr>
          <w:p>
            <w:pPr>
              <w:pStyle w:val="null3"/>
              <w:jc w:val="left"/>
            </w:pPr>
            <w:r>
              <w:rPr/>
              <w:t>输液工作站</w:t>
            </w:r>
          </w:p>
        </w:tc>
        <w:tc>
          <w:tcPr>
            <w:tcW w:type="dxa" w:w="2492"/>
          </w:tcPr>
          <w:p>
            <w:pPr>
              <w:pStyle w:val="null3"/>
              <w:jc w:val="left"/>
            </w:pPr>
            <w:r>
              <w:rPr/>
              <w:t>输液工作站</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1"/>
          </w:tcPr>
          <w:p>
            <w:pPr>
              <w:pStyle w:val="null3"/>
              <w:jc w:val="left"/>
            </w:pPr>
            <w:r>
              <w:rPr/>
              <w:t>1</w:t>
            </w:r>
          </w:p>
        </w:tc>
        <w:tc>
          <w:tcPr>
            <w:tcW w:type="dxa" w:w="2492"/>
          </w:tcPr>
          <w:p>
            <w:pPr>
              <w:pStyle w:val="null3"/>
              <w:jc w:val="left"/>
            </w:pPr>
            <w:r>
              <w:rPr/>
              <w:t>医用内窥镜</w:t>
            </w:r>
          </w:p>
        </w:tc>
        <w:tc>
          <w:tcPr>
            <w:tcW w:type="dxa" w:w="2492"/>
          </w:tcPr>
          <w:p>
            <w:pPr>
              <w:pStyle w:val="null3"/>
              <w:jc w:val="left"/>
            </w:pPr>
            <w:r>
              <w:rPr/>
              <w:t>纤维支气管镜</w:t>
            </w:r>
          </w:p>
        </w:tc>
        <w:tc>
          <w:tcPr>
            <w:tcW w:type="dxa" w:w="2492"/>
          </w:tcPr>
          <w:p>
            <w:pPr>
              <w:pStyle w:val="null3"/>
              <w:jc w:val="left"/>
            </w:pPr>
            <w:r>
              <w:rPr/>
              <w:t>纤维支气管镜</w:t>
            </w:r>
          </w:p>
        </w:tc>
      </w:tr>
    </w:tbl>
    <w:p>
      <w:pPr>
        <w:pStyle w:val="null3"/>
        <w:ind w:firstLine="480"/>
        <w:jc w:val="left"/>
      </w:pPr>
      <w:r>
        <w:rPr/>
        <w:t>注：涉及核心产品的，具体评审规定见第五章。</w:t>
      </w:r>
    </w:p>
    <w:p>
      <w:pPr>
        <w:pStyle w:val="null3"/>
        <w:ind w:firstLine="480"/>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ind w:firstLine="480"/>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ind w:firstLine="480"/>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ind w:firstLine="480"/>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3.3.技术要求</w:t>
      </w:r>
    </w:p>
    <w:p>
      <w:pPr>
        <w:pStyle w:val="null3"/>
        <w:jc w:val="left"/>
      </w:pPr>
      <w:r>
        <w:rPr/>
        <w:t>采购包1：</w:t>
      </w:r>
    </w:p>
    <w:p>
      <w:pPr>
        <w:pStyle w:val="null3"/>
        <w:jc w:val="left"/>
      </w:pPr>
      <w:r>
        <w:rPr/>
        <w:t>标的名称：输液工作站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left"/>
            </w:pPr>
            <w:r>
              <w:rPr>
                <w:rFonts w:ascii="仿宋" w:hAnsi="仿宋" w:cs="仿宋" w:eastAsia="仿宋"/>
                <w:sz w:val="28"/>
              </w:rPr>
              <w:t>★</w:t>
            </w:r>
            <w:r>
              <w:rPr>
                <w:rFonts w:ascii="仿宋" w:hAnsi="仿宋" w:cs="仿宋" w:eastAsia="仿宋"/>
                <w:sz w:val="28"/>
              </w:rPr>
              <w:t>1、工作站标配4台注射泵、2台输液泵、1个台车。</w:t>
            </w:r>
          </w:p>
          <w:p>
            <w:pPr>
              <w:pStyle w:val="null3"/>
              <w:jc w:val="left"/>
            </w:pPr>
            <w:r>
              <w:rPr>
                <w:rFonts w:ascii="仿宋" w:hAnsi="仿宋" w:cs="仿宋" w:eastAsia="仿宋"/>
                <w:sz w:val="28"/>
              </w:rPr>
              <w:t>★</w:t>
            </w:r>
            <w:r>
              <w:rPr>
                <w:rFonts w:ascii="仿宋" w:hAnsi="仿宋" w:cs="仿宋" w:eastAsia="仿宋"/>
                <w:sz w:val="28"/>
              </w:rPr>
              <w:t>2、</w:t>
            </w:r>
            <w:r>
              <w:rPr>
                <w:rFonts w:ascii="仿宋" w:hAnsi="仿宋" w:cs="仿宋" w:eastAsia="仿宋"/>
                <w:sz w:val="28"/>
              </w:rPr>
              <w:t>整机质保≥2年；</w:t>
            </w:r>
            <w:r>
              <w:rPr>
                <w:rFonts w:ascii="仿宋" w:hAnsi="仿宋" w:cs="仿宋" w:eastAsia="仿宋"/>
                <w:sz w:val="28"/>
              </w:rPr>
              <w:t>2.</w:t>
            </w:r>
            <w:r>
              <w:rPr>
                <w:rFonts w:ascii="仿宋" w:hAnsi="仿宋" w:cs="仿宋" w:eastAsia="仿宋"/>
                <w:sz w:val="28"/>
              </w:rPr>
              <w:t>质保期内，工程师每年≥2次巡检；</w:t>
            </w:r>
          </w:p>
          <w:p>
            <w:pPr>
              <w:pStyle w:val="null3"/>
              <w:jc w:val="left"/>
            </w:pPr>
            <w:r>
              <w:rPr>
                <w:rFonts w:ascii="仿宋" w:hAnsi="仿宋" w:cs="仿宋" w:eastAsia="仿宋"/>
                <w:sz w:val="28"/>
              </w:rPr>
              <w:t>★</w:t>
            </w:r>
            <w:r>
              <w:rPr>
                <w:rFonts w:ascii="仿宋" w:hAnsi="仿宋" w:cs="仿宋" w:eastAsia="仿宋"/>
                <w:sz w:val="28"/>
              </w:rPr>
              <w:t>3、</w:t>
            </w:r>
            <w:r>
              <w:rPr>
                <w:rFonts w:ascii="仿宋" w:hAnsi="仿宋" w:cs="仿宋" w:eastAsia="仿宋"/>
                <w:sz w:val="28"/>
              </w:rPr>
              <w:t>发生故障时，工程师响应时间（现场或远程响应）≤4h;</w:t>
            </w:r>
          </w:p>
          <w:p>
            <w:pPr>
              <w:pStyle w:val="null3"/>
              <w:jc w:val="left"/>
            </w:pPr>
            <w:r>
              <w:rPr>
                <w:rFonts w:ascii="仿宋" w:hAnsi="仿宋" w:cs="仿宋" w:eastAsia="仿宋"/>
                <w:sz w:val="28"/>
              </w:rPr>
              <w:t>★</w:t>
            </w:r>
            <w:r>
              <w:rPr>
                <w:rFonts w:ascii="仿宋" w:hAnsi="仿宋" w:cs="仿宋" w:eastAsia="仿宋"/>
                <w:sz w:val="28"/>
              </w:rPr>
              <w:t>4、</w:t>
            </w:r>
            <w:r>
              <w:rPr>
                <w:rFonts w:ascii="仿宋" w:hAnsi="仿宋" w:cs="仿宋" w:eastAsia="仿宋"/>
                <w:sz w:val="28"/>
              </w:rPr>
              <w:t>工程师负责免费对科室人员进行培训，培训次数不少于2次；</w:t>
            </w:r>
          </w:p>
        </w:tc>
      </w:tr>
      <w:tr>
        <w:tc>
          <w:tcPr>
            <w:tcW w:type="dxa" w:w="2769"/>
          </w:tcPr>
          <w:p>
            <w:pPr>
              <w:pStyle w:val="null3"/>
              <w:jc w:val="left"/>
            </w:pPr>
            <w:r>
              <w:rPr/>
              <w:t>2</w:t>
            </w:r>
          </w:p>
        </w:tc>
        <w:tc>
          <w:tcPr>
            <w:tcW w:type="dxa" w:w="2769"/>
          </w:tcPr>
          <w:p>
            <w:pPr>
              <w:pStyle w:val="null3"/>
              <w:jc w:val="left"/>
            </w:pPr>
            <w:r>
              <w:rPr/>
              <w:t>▲</w:t>
            </w:r>
          </w:p>
        </w:tc>
        <w:tc>
          <w:tcPr>
            <w:tcW w:type="dxa" w:w="2769"/>
          </w:tcPr>
          <w:p>
            <w:pPr>
              <w:pStyle w:val="null3"/>
              <w:jc w:val="left"/>
            </w:pPr>
            <w:r>
              <w:rPr>
                <w:rFonts w:ascii="仿宋" w:hAnsi="仿宋" w:cs="仿宋" w:eastAsia="仿宋"/>
                <w:sz w:val="28"/>
              </w:rPr>
              <w:t>输液工作站参数：</w:t>
            </w:r>
          </w:p>
          <w:p>
            <w:pPr>
              <w:pStyle w:val="null3"/>
              <w:jc w:val="left"/>
            </w:pPr>
            <w:r>
              <w:rPr>
                <w:rFonts w:ascii="仿宋" w:hAnsi="仿宋" w:cs="仿宋" w:eastAsia="仿宋"/>
                <w:sz w:val="28"/>
              </w:rPr>
              <w:t>▲1、输注泵和输液工作站之间采用红外（非针式）连接，保证数据传输安全高效。</w:t>
            </w:r>
          </w:p>
          <w:p>
            <w:pPr>
              <w:pStyle w:val="null3"/>
              <w:jc w:val="left"/>
            </w:pPr>
            <w:r>
              <w:rPr>
                <w:rFonts w:ascii="仿宋" w:hAnsi="仿宋" w:cs="仿宋" w:eastAsia="仿宋"/>
                <w:sz w:val="28"/>
              </w:rPr>
              <w:t>▲2.安全防护：≥I类 IP24。</w:t>
            </w:r>
          </w:p>
          <w:p>
            <w:pPr>
              <w:pStyle w:val="null3"/>
              <w:jc w:val="left"/>
            </w:pPr>
            <w:r>
              <w:rPr>
                <w:rFonts w:ascii="仿宋" w:hAnsi="仿宋" w:cs="仿宋" w:eastAsia="仿宋"/>
                <w:sz w:val="28"/>
              </w:rPr>
              <w:t>▲3、输液工作站具备无线模块和有线模块，可与≥2个主流品牌监护仪实现监护仪数据的传输，并与患者的用药情况进行同屏显示，可供临床参考用药。</w:t>
            </w:r>
          </w:p>
          <w:p>
            <w:pPr>
              <w:pStyle w:val="null3"/>
              <w:jc w:val="left"/>
            </w:pPr>
            <w:r>
              <w:rPr>
                <w:rFonts w:ascii="仿宋" w:hAnsi="仿宋" w:cs="仿宋" w:eastAsia="仿宋"/>
                <w:sz w:val="28"/>
              </w:rPr>
              <w:t>输液泵参数：</w:t>
            </w:r>
          </w:p>
          <w:p>
            <w:pPr>
              <w:pStyle w:val="null3"/>
              <w:jc w:val="left"/>
            </w:pPr>
            <w:r>
              <w:rPr>
                <w:rFonts w:ascii="仿宋" w:hAnsi="仿宋" w:cs="仿宋" w:eastAsia="仿宋"/>
                <w:sz w:val="28"/>
              </w:rPr>
              <w:t>▲1、≥12种输液模式可选：速度模式、时间模式、体重模式、序列模式、首剂量模式、梯度模式、点滴模式、间歇模式、微量模式、时辰模式、组合模式、级联输液模式（配合多通道输液工作站）。</w:t>
            </w:r>
          </w:p>
          <w:p>
            <w:pPr>
              <w:pStyle w:val="null3"/>
              <w:jc w:val="left"/>
            </w:pPr>
            <w:r>
              <w:rPr>
                <w:rFonts w:ascii="仿宋" w:hAnsi="仿宋" w:cs="仿宋" w:eastAsia="仿宋"/>
                <w:sz w:val="28"/>
              </w:rPr>
              <w:t>▲2、压力报警阈值至少16档可调，下阻塞最低50mmHg，并且可以动态显示管路的压力状态。</w:t>
            </w:r>
          </w:p>
          <w:p>
            <w:pPr>
              <w:pStyle w:val="null3"/>
              <w:jc w:val="left"/>
            </w:pPr>
            <w:r>
              <w:rPr>
                <w:rFonts w:ascii="仿宋" w:hAnsi="仿宋" w:cs="仿宋" w:eastAsia="仿宋"/>
                <w:sz w:val="28"/>
              </w:rPr>
              <w:t>▲3.具备双气泡传感器进行检测；气泡检测：最小检测气泡大小15ul。</w:t>
            </w:r>
          </w:p>
          <w:p>
            <w:pPr>
              <w:pStyle w:val="null3"/>
              <w:jc w:val="left"/>
            </w:pPr>
            <w:r>
              <w:rPr>
                <w:rFonts w:ascii="仿宋" w:hAnsi="仿宋" w:cs="仿宋" w:eastAsia="仿宋"/>
                <w:sz w:val="28"/>
              </w:rPr>
              <w:t>▲4.防尘防水等级：≥IP44。</w:t>
            </w:r>
          </w:p>
          <w:p>
            <w:pPr>
              <w:pStyle w:val="null3"/>
              <w:jc w:val="left"/>
            </w:pPr>
            <w:r>
              <w:rPr>
                <w:rFonts w:ascii="仿宋" w:hAnsi="仿宋" w:cs="仿宋" w:eastAsia="仿宋"/>
                <w:sz w:val="28"/>
              </w:rPr>
              <w:t>▲5.防药液自流：智能阻断技术，泵门打开时，保证液体不会任意流出。报警：输注即将完成、输注完成、输注完成进入 KVO、KVO 完成、阻塞预警、管路下端阻塞、管路上端阻塞、管路有气泡、累积气泡 超限、滴数传感器未连接、无滴液、滴速过高、滴速过低、空瓶、 遗忘操作、级联即将失效、级联失效、电池电量低、电池耗尽， 即将关机、无电池、无外部电源、管路安装错误、中央站通讯中断、 监视器通讯中断、加温器未安装、加温器超温、加温器欠温等功能；再报警功能：静音报警声音后，若仍然存在报警，约2分钟后，将继续报警。</w:t>
            </w:r>
          </w:p>
          <w:p>
            <w:pPr>
              <w:pStyle w:val="null3"/>
              <w:jc w:val="left"/>
            </w:pPr>
            <w:r>
              <w:rPr>
                <w:rFonts w:ascii="仿宋" w:hAnsi="仿宋" w:cs="仿宋" w:eastAsia="仿宋"/>
                <w:sz w:val="28"/>
              </w:rPr>
              <w:t>▲6.可存储≥5100种药物。</w:t>
            </w:r>
          </w:p>
          <w:p>
            <w:pPr>
              <w:pStyle w:val="null3"/>
              <w:jc w:val="left"/>
            </w:pPr>
            <w:r>
              <w:rPr>
                <w:rFonts w:ascii="仿宋" w:hAnsi="仿宋" w:cs="仿宋" w:eastAsia="仿宋"/>
                <w:sz w:val="28"/>
              </w:rPr>
              <w:t>▲7.主界面具有剂量速度指示棒，可用于直观快速判断剂量速度是否合理。</w:t>
            </w:r>
          </w:p>
          <w:p>
            <w:pPr>
              <w:pStyle w:val="null3"/>
              <w:jc w:val="left"/>
            </w:pPr>
            <w:r>
              <w:rPr>
                <w:rFonts w:ascii="仿宋" w:hAnsi="仿宋" w:cs="仿宋" w:eastAsia="仿宋"/>
                <w:sz w:val="28"/>
              </w:rPr>
              <w:t>注射泵参数</w:t>
            </w:r>
          </w:p>
          <w:p>
            <w:pPr>
              <w:pStyle w:val="null3"/>
              <w:jc w:val="left"/>
            </w:pPr>
            <w:r>
              <w:rPr>
                <w:rFonts w:ascii="仿宋" w:hAnsi="仿宋" w:cs="仿宋" w:eastAsia="仿宋"/>
                <w:sz w:val="28"/>
              </w:rPr>
              <w:t>▲1.速率范围：0.01-2400ml/h，以0.01 ml/h递增</w:t>
            </w:r>
            <w:r>
              <w:rPr>
                <w:rFonts w:ascii="仿宋" w:hAnsi="仿宋" w:cs="仿宋" w:eastAsia="仿宋"/>
                <w:sz w:val="28"/>
              </w:rPr>
              <w:t>。</w:t>
            </w:r>
          </w:p>
          <w:p>
            <w:pPr>
              <w:pStyle w:val="null3"/>
              <w:jc w:val="left"/>
            </w:pPr>
            <w:r>
              <w:rPr>
                <w:rFonts w:ascii="仿宋" w:hAnsi="仿宋" w:cs="仿宋" w:eastAsia="仿宋"/>
                <w:sz w:val="28"/>
              </w:rPr>
              <w:t>▲2.≥11种输液模式可选：速度模式、体重模式、时间模式、序列模式、首剂量模式、梯度模式、 间歇模式、组合模式、微量模式、时辰模式、级联输液模式等（包括但不限于配合多通道输液工作站）。</w:t>
            </w:r>
          </w:p>
          <w:p>
            <w:pPr>
              <w:pStyle w:val="null3"/>
              <w:jc w:val="left"/>
            </w:pPr>
            <w:r>
              <w:rPr>
                <w:rFonts w:ascii="仿宋" w:hAnsi="仿宋" w:cs="仿宋" w:eastAsia="仿宋"/>
                <w:sz w:val="28"/>
              </w:rPr>
              <w:t>▲3.支持体重选择㎡单位，由体表面积（BSA）计算剂量速度。</w:t>
            </w:r>
          </w:p>
          <w:p>
            <w:pPr>
              <w:pStyle w:val="null3"/>
              <w:jc w:val="left"/>
            </w:pPr>
            <w:r>
              <w:rPr>
                <w:rFonts w:ascii="仿宋" w:hAnsi="仿宋" w:cs="仿宋" w:eastAsia="仿宋"/>
                <w:sz w:val="28"/>
              </w:rPr>
              <w:t>▲4.≥7.0英寸电容触摸屏操作，方便快捷的人机操作界面，全中文颜色彩屏显示。</w:t>
            </w:r>
          </w:p>
          <w:p>
            <w:pPr>
              <w:pStyle w:val="null3"/>
              <w:jc w:val="left"/>
            </w:pPr>
            <w:r>
              <w:rPr>
                <w:rFonts w:ascii="仿宋" w:hAnsi="仿宋" w:cs="仿宋" w:eastAsia="仿宋"/>
                <w:sz w:val="28"/>
              </w:rPr>
              <w:t>▲5.防尘防水等级：≥IP44</w:t>
            </w:r>
          </w:p>
          <w:p>
            <w:pPr>
              <w:pStyle w:val="null3"/>
              <w:jc w:val="left"/>
            </w:pPr>
            <w:r>
              <w:rPr>
                <w:rFonts w:ascii="仿宋" w:hAnsi="仿宋" w:cs="仿宋" w:eastAsia="仿宋"/>
                <w:sz w:val="28"/>
              </w:rPr>
              <w:t>▲6.可存储≥10000种药物。</w:t>
            </w:r>
          </w:p>
          <w:p>
            <w:pPr>
              <w:pStyle w:val="null3"/>
              <w:jc w:val="left"/>
            </w:pPr>
            <w:r>
              <w:rPr>
                <w:rFonts w:ascii="仿宋" w:hAnsi="仿宋" w:cs="仿宋" w:eastAsia="仿宋"/>
                <w:sz w:val="28"/>
              </w:rPr>
              <w:t>▲7.主界面具有剂量速度指示棒，可用于直观快速判断剂量速度是否合理。</w:t>
            </w:r>
          </w:p>
        </w:tc>
      </w:tr>
      <w:tr>
        <w:tc>
          <w:tcPr>
            <w:tcW w:type="dxa" w:w="2769"/>
          </w:tcPr>
          <w:p>
            <w:pPr>
              <w:pStyle w:val="null3"/>
              <w:jc w:val="left"/>
            </w:pPr>
            <w:r>
              <w:rPr/>
              <w:t>3</w:t>
            </w:r>
          </w:p>
        </w:tc>
        <w:tc>
          <w:tcPr>
            <w:tcW w:type="dxa" w:w="2769"/>
          </w:tcPr>
          <w:p/>
        </w:tc>
        <w:tc>
          <w:tcPr>
            <w:tcW w:type="dxa" w:w="2769"/>
          </w:tcPr>
          <w:p>
            <w:pPr>
              <w:pStyle w:val="null3"/>
              <w:ind w:firstLine="426"/>
              <w:jc w:val="both"/>
            </w:pPr>
            <w:r>
              <w:rPr>
                <w:rFonts w:ascii="仿宋" w:hAnsi="仿宋" w:cs="仿宋" w:eastAsia="仿宋"/>
                <w:sz w:val="28"/>
              </w:rPr>
              <w:t>输液工作站参数</w:t>
            </w:r>
          </w:p>
          <w:p>
            <w:pPr>
              <w:pStyle w:val="null3"/>
              <w:ind w:firstLine="426"/>
              <w:jc w:val="both"/>
            </w:pPr>
            <w:r>
              <w:rPr/>
              <w:t>1</w:t>
            </w:r>
            <w:r>
              <w:rPr>
                <w:rFonts w:ascii="仿宋" w:hAnsi="仿宋" w:cs="仿宋" w:eastAsia="仿宋"/>
                <w:sz w:val="28"/>
              </w:rPr>
              <w:t>.</w:t>
            </w:r>
            <w:r>
              <w:rPr>
                <w:rFonts w:ascii="仿宋" w:hAnsi="仿宋" w:cs="仿宋" w:eastAsia="仿宋"/>
                <w:sz w:val="28"/>
              </w:rPr>
              <w:t>工作站具有独立的内置锂电池，连续使用≥10小时。</w:t>
            </w:r>
          </w:p>
          <w:p>
            <w:pPr>
              <w:pStyle w:val="null3"/>
              <w:ind w:firstLine="426"/>
              <w:jc w:val="both"/>
            </w:pPr>
            <w:r>
              <w:rPr>
                <w:rFonts w:ascii="仿宋" w:hAnsi="仿宋" w:cs="仿宋" w:eastAsia="仿宋"/>
                <w:sz w:val="28"/>
              </w:rPr>
              <w:t>2.</w:t>
            </w:r>
            <w:r>
              <w:rPr>
                <w:rFonts w:ascii="仿宋" w:hAnsi="仿宋" w:cs="仿宋" w:eastAsia="仿宋"/>
                <w:sz w:val="28"/>
              </w:rPr>
              <w:t>输液工作站具有有线RJ45、无线网络模块以及USB3.0多用途接口。</w:t>
            </w:r>
          </w:p>
          <w:p>
            <w:pPr>
              <w:pStyle w:val="null3"/>
              <w:ind w:firstLine="426"/>
              <w:jc w:val="both"/>
            </w:pPr>
            <w:r>
              <w:rPr>
                <w:rFonts w:ascii="仿宋" w:hAnsi="仿宋" w:cs="仿宋" w:eastAsia="仿宋"/>
                <w:sz w:val="28"/>
              </w:rPr>
              <w:t>3.</w:t>
            </w:r>
            <w:r>
              <w:rPr>
                <w:rFonts w:ascii="仿宋" w:hAnsi="仿宋" w:cs="仿宋" w:eastAsia="仿宋"/>
                <w:sz w:val="28"/>
              </w:rPr>
              <w:t>具备医院管理功能：可创建≥10个科室，每个科室可创建≥50个房间和50个床位，实现多病床、多病室输注信息一站式集中监护。</w:t>
            </w:r>
          </w:p>
          <w:p>
            <w:pPr>
              <w:pStyle w:val="null3"/>
              <w:ind w:firstLine="426"/>
              <w:jc w:val="both"/>
            </w:pPr>
            <w:r>
              <w:rPr>
                <w:rFonts w:ascii="仿宋" w:hAnsi="仿宋" w:cs="仿宋" w:eastAsia="仿宋"/>
                <w:sz w:val="28"/>
              </w:rPr>
              <w:t>输液泵参数：</w:t>
            </w:r>
          </w:p>
          <w:p>
            <w:pPr>
              <w:pStyle w:val="null3"/>
              <w:ind w:firstLine="426"/>
              <w:jc w:val="both"/>
            </w:pPr>
            <w:r>
              <w:rPr>
                <w:rFonts w:ascii="仿宋" w:hAnsi="仿宋" w:cs="仿宋" w:eastAsia="仿宋"/>
                <w:sz w:val="28"/>
              </w:rPr>
              <w:t>1.</w:t>
            </w:r>
            <w:r>
              <w:rPr>
                <w:rFonts w:ascii="仿宋" w:hAnsi="仿宋" w:cs="仿宋" w:eastAsia="仿宋"/>
                <w:sz w:val="28"/>
              </w:rPr>
              <w:t>支持输血功能。</w:t>
            </w:r>
          </w:p>
          <w:p>
            <w:pPr>
              <w:pStyle w:val="null3"/>
              <w:ind w:firstLine="426"/>
              <w:jc w:val="both"/>
            </w:pPr>
            <w:r>
              <w:rPr>
                <w:rFonts w:ascii="仿宋" w:hAnsi="仿宋" w:cs="仿宋" w:eastAsia="仿宋"/>
                <w:sz w:val="28"/>
              </w:rPr>
              <w:t>2.</w:t>
            </w:r>
            <w:r>
              <w:rPr>
                <w:rFonts w:ascii="仿宋" w:hAnsi="仿宋" w:cs="仿宋" w:eastAsia="仿宋"/>
                <w:sz w:val="28"/>
              </w:rPr>
              <w:t>输液精度：±4.4%。</w:t>
            </w:r>
          </w:p>
          <w:p>
            <w:pPr>
              <w:pStyle w:val="null3"/>
              <w:ind w:firstLine="426"/>
              <w:jc w:val="both"/>
            </w:pPr>
            <w:r>
              <w:rPr>
                <w:rFonts w:ascii="仿宋" w:hAnsi="仿宋" w:cs="仿宋" w:eastAsia="仿宋"/>
                <w:sz w:val="28"/>
              </w:rPr>
              <w:t>3.</w:t>
            </w:r>
            <w:r>
              <w:rPr>
                <w:rFonts w:ascii="仿宋" w:hAnsi="仿宋" w:cs="仿宋" w:eastAsia="仿宋"/>
                <w:sz w:val="28"/>
              </w:rPr>
              <w:t>流速范围：0.10-2400.0mL/h, 最小增量为0.01mL/h 。</w:t>
            </w:r>
          </w:p>
          <w:p>
            <w:pPr>
              <w:pStyle w:val="null3"/>
              <w:ind w:firstLine="426"/>
              <w:jc w:val="both"/>
            </w:pPr>
            <w:r>
              <w:rPr>
                <w:rFonts w:ascii="仿宋" w:hAnsi="仿宋" w:cs="仿宋" w:eastAsia="仿宋"/>
                <w:sz w:val="28"/>
              </w:rPr>
              <w:t>4.</w:t>
            </w:r>
            <w:r>
              <w:rPr>
                <w:rFonts w:ascii="仿宋" w:hAnsi="仿宋" w:cs="仿宋" w:eastAsia="仿宋"/>
                <w:sz w:val="28"/>
              </w:rPr>
              <w:t>预置量设定范围：0.10-9999.99mL（最小增量为0.01mL）。</w:t>
            </w:r>
          </w:p>
          <w:p>
            <w:pPr>
              <w:pStyle w:val="null3"/>
              <w:ind w:firstLine="426"/>
              <w:jc w:val="both"/>
            </w:pPr>
            <w:r>
              <w:rPr>
                <w:rFonts w:ascii="仿宋" w:hAnsi="仿宋" w:cs="仿宋" w:eastAsia="仿宋"/>
                <w:sz w:val="28"/>
              </w:rPr>
              <w:t>5.</w:t>
            </w:r>
            <w:r>
              <w:rPr>
                <w:rFonts w:ascii="仿宋" w:hAnsi="仿宋" w:cs="仿宋" w:eastAsia="仿宋"/>
                <w:sz w:val="28"/>
              </w:rPr>
              <w:t>快进流速范围：0.10-2400.0mL/h, 具有自动快进可选。</w:t>
            </w:r>
          </w:p>
          <w:p>
            <w:pPr>
              <w:pStyle w:val="null3"/>
              <w:ind w:firstLine="426"/>
              <w:jc w:val="both"/>
            </w:pPr>
            <w:r>
              <w:rPr>
                <w:rFonts w:ascii="仿宋" w:hAnsi="仿宋" w:cs="仿宋" w:eastAsia="仿宋"/>
                <w:sz w:val="28"/>
              </w:rPr>
              <w:t>6.</w:t>
            </w:r>
            <w:r>
              <w:rPr>
                <w:rFonts w:ascii="仿宋" w:hAnsi="仿宋" w:cs="仿宋" w:eastAsia="仿宋"/>
                <w:sz w:val="28"/>
              </w:rPr>
              <w:t>全自动止液夹，安装或取出输液管时，无需任何操作，止液夹关闭或打开。</w:t>
            </w:r>
          </w:p>
          <w:p>
            <w:pPr>
              <w:pStyle w:val="null3"/>
              <w:ind w:firstLine="426"/>
              <w:jc w:val="both"/>
            </w:pPr>
            <w:r>
              <w:rPr>
                <w:rFonts w:ascii="仿宋" w:hAnsi="仿宋" w:cs="仿宋" w:eastAsia="仿宋"/>
                <w:sz w:val="28"/>
              </w:rPr>
              <w:t>7.</w:t>
            </w:r>
            <w:r>
              <w:rPr>
                <w:rFonts w:ascii="仿宋" w:hAnsi="仿宋" w:cs="仿宋" w:eastAsia="仿宋"/>
                <w:sz w:val="28"/>
              </w:rPr>
              <w:t>支持体重选择㎡单位，由体表面积（BSA）计算剂量速度。</w:t>
            </w:r>
          </w:p>
          <w:p>
            <w:pPr>
              <w:pStyle w:val="null3"/>
              <w:ind w:firstLine="426"/>
              <w:jc w:val="both"/>
            </w:pPr>
            <w:r>
              <w:rPr>
                <w:rFonts w:ascii="仿宋" w:hAnsi="仿宋" w:cs="仿宋" w:eastAsia="仿宋"/>
                <w:sz w:val="28"/>
              </w:rPr>
              <w:t>8.KVO</w:t>
            </w:r>
            <w:r>
              <w:rPr>
                <w:rFonts w:ascii="仿宋" w:hAnsi="仿宋" w:cs="仿宋" w:eastAsia="仿宋"/>
                <w:sz w:val="28"/>
              </w:rPr>
              <w:t>速度:0.1-30.0mL/h可调。</w:t>
            </w:r>
          </w:p>
          <w:p>
            <w:pPr>
              <w:pStyle w:val="null3"/>
              <w:ind w:firstLine="426"/>
              <w:jc w:val="both"/>
            </w:pPr>
            <w:r>
              <w:rPr>
                <w:rFonts w:ascii="仿宋" w:hAnsi="仿宋" w:cs="仿宋" w:eastAsia="仿宋"/>
                <w:sz w:val="28"/>
              </w:rPr>
              <w:t>9.</w:t>
            </w:r>
            <w:r>
              <w:rPr>
                <w:rFonts w:ascii="仿宋" w:hAnsi="仿宋" w:cs="仿宋" w:eastAsia="仿宋"/>
                <w:sz w:val="28"/>
              </w:rPr>
              <w:t>支持Anti-bolus功能，丸剂量≤0.2ml。（提供彩页等证明）</w:t>
            </w:r>
          </w:p>
          <w:p>
            <w:pPr>
              <w:pStyle w:val="null3"/>
              <w:ind w:firstLine="426"/>
              <w:jc w:val="both"/>
            </w:pPr>
            <w:r>
              <w:rPr>
                <w:rFonts w:ascii="仿宋" w:hAnsi="仿宋" w:cs="仿宋" w:eastAsia="仿宋"/>
                <w:sz w:val="28"/>
              </w:rPr>
              <w:t>10.</w:t>
            </w:r>
            <w:r>
              <w:rPr>
                <w:rFonts w:ascii="仿宋" w:hAnsi="仿宋" w:cs="仿宋" w:eastAsia="仿宋"/>
                <w:sz w:val="28"/>
              </w:rPr>
              <w:t>≥7.0英寸电容触摸屏操作，方便快捷的人机操作界面，全中文彩屏显示。</w:t>
            </w:r>
          </w:p>
          <w:p>
            <w:pPr>
              <w:pStyle w:val="null3"/>
              <w:ind w:firstLine="426"/>
              <w:jc w:val="both"/>
            </w:pPr>
            <w:r>
              <w:rPr>
                <w:rFonts w:ascii="仿宋" w:hAnsi="仿宋" w:cs="仿宋" w:eastAsia="仿宋"/>
                <w:sz w:val="28"/>
              </w:rPr>
              <w:t>11.</w:t>
            </w:r>
            <w:r>
              <w:rPr>
                <w:rFonts w:ascii="仿宋" w:hAnsi="仿宋" w:cs="仿宋" w:eastAsia="仿宋"/>
                <w:sz w:val="28"/>
              </w:rPr>
              <w:t>无需任何配件，支持两个泵之间叠加。</w:t>
            </w:r>
          </w:p>
          <w:p>
            <w:pPr>
              <w:pStyle w:val="null3"/>
              <w:ind w:firstLine="426"/>
              <w:jc w:val="both"/>
            </w:pPr>
            <w:r>
              <w:rPr>
                <w:rFonts w:ascii="仿宋" w:hAnsi="仿宋" w:cs="仿宋" w:eastAsia="仿宋"/>
                <w:sz w:val="28"/>
              </w:rPr>
              <w:t>12.</w:t>
            </w:r>
            <w:r>
              <w:rPr>
                <w:rFonts w:ascii="仿宋" w:hAnsi="仿宋" w:cs="仿宋" w:eastAsia="仿宋"/>
                <w:sz w:val="28"/>
              </w:rPr>
              <w:t>具备输液精度校正功能：用户可自定义其他符合标准的输液器。</w:t>
            </w:r>
          </w:p>
          <w:p>
            <w:pPr>
              <w:pStyle w:val="null3"/>
              <w:ind w:firstLine="426"/>
              <w:jc w:val="both"/>
            </w:pPr>
            <w:r>
              <w:rPr>
                <w:rFonts w:ascii="仿宋" w:hAnsi="仿宋" w:cs="仿宋" w:eastAsia="仿宋"/>
                <w:sz w:val="28"/>
              </w:rPr>
              <w:t>13.</w:t>
            </w:r>
            <w:r>
              <w:rPr>
                <w:rFonts w:ascii="仿宋" w:hAnsi="仿宋" w:cs="仿宋" w:eastAsia="仿宋"/>
                <w:sz w:val="28"/>
              </w:rPr>
              <w:t>具有自适应蠕动系统，能够自适应匹配各种输液管路，达到输液准确度。（提供彩页或技术白皮书或其他证明材料）</w:t>
            </w:r>
          </w:p>
          <w:p>
            <w:pPr>
              <w:pStyle w:val="null3"/>
              <w:ind w:firstLine="426"/>
              <w:jc w:val="both"/>
            </w:pPr>
            <w:r>
              <w:rPr>
                <w:rFonts w:ascii="仿宋" w:hAnsi="仿宋" w:cs="仿宋" w:eastAsia="仿宋"/>
                <w:sz w:val="28"/>
              </w:rPr>
              <w:t>14.</w:t>
            </w:r>
            <w:r>
              <w:rPr>
                <w:rFonts w:ascii="仿宋" w:hAnsi="仿宋" w:cs="仿宋" w:eastAsia="仿宋"/>
                <w:sz w:val="28"/>
              </w:rPr>
              <w:t>支持≥100种药物分类。</w:t>
            </w:r>
          </w:p>
          <w:p>
            <w:pPr>
              <w:pStyle w:val="null3"/>
              <w:ind w:firstLine="426"/>
              <w:jc w:val="both"/>
            </w:pPr>
            <w:r>
              <w:rPr>
                <w:rFonts w:ascii="仿宋" w:hAnsi="仿宋" w:cs="仿宋" w:eastAsia="仿宋"/>
                <w:sz w:val="28"/>
              </w:rPr>
              <w:t>15.</w:t>
            </w:r>
            <w:r>
              <w:rPr>
                <w:rFonts w:ascii="仿宋" w:hAnsi="仿宋" w:cs="仿宋" w:eastAsia="仿宋"/>
                <w:sz w:val="28"/>
              </w:rPr>
              <w:t>主界面可显示输注药物的中文名字，并支持中文药物检索。</w:t>
            </w:r>
          </w:p>
          <w:p>
            <w:pPr>
              <w:pStyle w:val="null3"/>
              <w:ind w:firstLine="426"/>
              <w:jc w:val="both"/>
            </w:pPr>
            <w:r>
              <w:rPr>
                <w:rFonts w:ascii="仿宋" w:hAnsi="仿宋" w:cs="仿宋" w:eastAsia="仿宋"/>
                <w:sz w:val="28"/>
              </w:rPr>
              <w:t>16.</w:t>
            </w:r>
            <w:r>
              <w:rPr>
                <w:rFonts w:ascii="仿宋" w:hAnsi="仿宋" w:cs="仿宋" w:eastAsia="仿宋"/>
                <w:sz w:val="28"/>
              </w:rPr>
              <w:t>严格参照中国行业标准药物颜色显示色块；支持使用≥100 种颜色标识药物。</w:t>
            </w:r>
          </w:p>
          <w:p>
            <w:pPr>
              <w:pStyle w:val="null3"/>
              <w:ind w:firstLine="426"/>
              <w:jc w:val="both"/>
            </w:pPr>
            <w:r>
              <w:rPr>
                <w:rFonts w:ascii="仿宋" w:hAnsi="仿宋" w:cs="仿宋" w:eastAsia="仿宋"/>
                <w:sz w:val="28"/>
              </w:rPr>
              <w:t>17.</w:t>
            </w:r>
            <w:r>
              <w:rPr>
                <w:rFonts w:ascii="仿宋" w:hAnsi="仿宋" w:cs="仿宋" w:eastAsia="仿宋"/>
                <w:sz w:val="28"/>
              </w:rPr>
              <w:t>可在泵端内置科室常用药物，并预设药物参数，当选择某药物后，其参数自动录入，提高输注效率。</w:t>
            </w:r>
          </w:p>
          <w:p>
            <w:pPr>
              <w:pStyle w:val="null3"/>
              <w:ind w:firstLine="426"/>
              <w:jc w:val="both"/>
            </w:pPr>
            <w:r>
              <w:rPr>
                <w:rFonts w:ascii="仿宋" w:hAnsi="仿宋" w:cs="仿宋" w:eastAsia="仿宋"/>
                <w:sz w:val="28"/>
              </w:rPr>
              <w:t>18.</w:t>
            </w:r>
            <w:r>
              <w:rPr>
                <w:rFonts w:ascii="仿宋" w:hAnsi="仿宋" w:cs="仿宋" w:eastAsia="仿宋"/>
                <w:sz w:val="28"/>
              </w:rPr>
              <w:t>支持 DERS 功能，可以根据事先在药物库文件中设置好的参数限值，限制设置药物 的输注参数不能超过药物库的硬限值；设置药物的输注参数超过药物库的软限值且在 硬限值范围内时，本设备有提示但仍能启动输注。</w:t>
            </w:r>
          </w:p>
          <w:p>
            <w:pPr>
              <w:pStyle w:val="null3"/>
              <w:ind w:firstLine="426"/>
              <w:jc w:val="both"/>
            </w:pPr>
            <w:r>
              <w:rPr>
                <w:rFonts w:ascii="仿宋" w:hAnsi="仿宋" w:cs="仿宋" w:eastAsia="仿宋"/>
                <w:sz w:val="28"/>
              </w:rPr>
              <w:t>19.</w:t>
            </w:r>
            <w:r>
              <w:rPr>
                <w:rFonts w:ascii="仿宋" w:hAnsi="仿宋" w:cs="仿宋" w:eastAsia="仿宋"/>
                <w:sz w:val="28"/>
              </w:rPr>
              <w:t>能够存储、回放≥4000组历史信息记录。</w:t>
            </w:r>
          </w:p>
          <w:p>
            <w:pPr>
              <w:pStyle w:val="null3"/>
              <w:ind w:firstLine="426"/>
              <w:jc w:val="both"/>
            </w:pPr>
            <w:r>
              <w:rPr>
                <w:rFonts w:ascii="仿宋" w:hAnsi="仿宋" w:cs="仿宋" w:eastAsia="仿宋"/>
                <w:sz w:val="28"/>
              </w:rPr>
              <w:t>20.</w:t>
            </w:r>
            <w:r>
              <w:rPr>
                <w:rFonts w:ascii="仿宋" w:hAnsi="仿宋" w:cs="仿宋" w:eastAsia="仿宋"/>
                <w:sz w:val="28"/>
              </w:rPr>
              <w:t>可连接条码扫描仪，快速录入患者信息。</w:t>
            </w:r>
          </w:p>
          <w:p>
            <w:pPr>
              <w:pStyle w:val="null3"/>
              <w:ind w:firstLine="426"/>
              <w:jc w:val="both"/>
            </w:pPr>
            <w:r>
              <w:rPr>
                <w:rFonts w:ascii="仿宋" w:hAnsi="仿宋" w:cs="仿宋" w:eastAsia="仿宋"/>
                <w:sz w:val="28"/>
              </w:rPr>
              <w:t>21.</w:t>
            </w:r>
            <w:r>
              <w:rPr>
                <w:rFonts w:ascii="仿宋" w:hAnsi="仿宋" w:cs="仿宋" w:eastAsia="仿宋"/>
                <w:sz w:val="28"/>
              </w:rPr>
              <w:t>重量：≤1.7Kg（含锂电池）。</w:t>
            </w:r>
          </w:p>
          <w:p>
            <w:pPr>
              <w:pStyle w:val="null3"/>
              <w:ind w:firstLine="426"/>
              <w:jc w:val="both"/>
            </w:pPr>
            <w:r>
              <w:rPr>
                <w:rFonts w:ascii="仿宋" w:hAnsi="仿宋" w:cs="仿宋" w:eastAsia="仿宋"/>
                <w:sz w:val="28"/>
              </w:rPr>
              <w:t>22.</w:t>
            </w:r>
            <w:r>
              <w:rPr>
                <w:rFonts w:ascii="仿宋" w:hAnsi="仿宋" w:cs="仿宋" w:eastAsia="仿宋"/>
                <w:sz w:val="28"/>
              </w:rPr>
              <w:t>锂电池续航时间：≥15小时@ 25mL/h。</w:t>
            </w:r>
          </w:p>
          <w:p>
            <w:pPr>
              <w:pStyle w:val="null3"/>
              <w:ind w:firstLine="426"/>
              <w:jc w:val="both"/>
            </w:pPr>
            <w:r>
              <w:rPr>
                <w:rFonts w:ascii="仿宋" w:hAnsi="仿宋" w:cs="仿宋" w:eastAsia="仿宋"/>
                <w:sz w:val="28"/>
              </w:rPr>
              <w:t>注射泵参数</w:t>
            </w:r>
          </w:p>
          <w:p>
            <w:pPr>
              <w:pStyle w:val="null3"/>
              <w:ind w:firstLine="426"/>
              <w:jc w:val="both"/>
            </w:pPr>
            <w:r>
              <w:rPr>
                <w:rFonts w:ascii="仿宋" w:hAnsi="仿宋" w:cs="仿宋" w:eastAsia="仿宋"/>
                <w:sz w:val="28"/>
              </w:rPr>
              <w:t>1.</w:t>
            </w:r>
            <w:r>
              <w:rPr>
                <w:rFonts w:ascii="仿宋" w:hAnsi="仿宋" w:cs="仿宋" w:eastAsia="仿宋"/>
                <w:sz w:val="28"/>
              </w:rPr>
              <w:t>整机设计使用年限≥10年，提供设备产品标贴为证明材料。</w:t>
            </w:r>
          </w:p>
          <w:p>
            <w:pPr>
              <w:pStyle w:val="null3"/>
              <w:ind w:firstLine="426"/>
              <w:jc w:val="both"/>
            </w:pPr>
            <w:r>
              <w:rPr>
                <w:rFonts w:ascii="仿宋" w:hAnsi="仿宋" w:cs="仿宋" w:eastAsia="仿宋"/>
                <w:sz w:val="28"/>
              </w:rPr>
              <w:t>2.</w:t>
            </w:r>
            <w:r>
              <w:rPr>
                <w:rFonts w:ascii="仿宋" w:hAnsi="仿宋" w:cs="仿宋" w:eastAsia="仿宋"/>
                <w:sz w:val="28"/>
              </w:rPr>
              <w:t>注射精度：±1.7%、机械精度：±0.5%。</w:t>
            </w:r>
          </w:p>
          <w:p>
            <w:pPr>
              <w:pStyle w:val="null3"/>
              <w:ind w:firstLine="426"/>
              <w:jc w:val="both"/>
            </w:pPr>
            <w:r>
              <w:rPr/>
              <w:t>3</w:t>
            </w:r>
            <w:r>
              <w:rPr>
                <w:rFonts w:ascii="仿宋" w:hAnsi="仿宋" w:cs="仿宋" w:eastAsia="仿宋"/>
                <w:sz w:val="28"/>
              </w:rPr>
              <w:t>.</w:t>
            </w:r>
            <w:r>
              <w:rPr>
                <w:rFonts w:ascii="仿宋" w:hAnsi="仿宋" w:cs="仿宋" w:eastAsia="仿宋"/>
                <w:sz w:val="28"/>
              </w:rPr>
              <w:t>预置量设定范围：0.10-9999.99mL（最小增量为0.01mL）。</w:t>
            </w:r>
          </w:p>
          <w:p>
            <w:pPr>
              <w:pStyle w:val="null3"/>
              <w:ind w:firstLine="426"/>
              <w:jc w:val="both"/>
            </w:pPr>
            <w:r>
              <w:rPr>
                <w:rFonts w:ascii="仿宋" w:hAnsi="仿宋" w:cs="仿宋" w:eastAsia="仿宋"/>
                <w:sz w:val="28"/>
              </w:rPr>
              <w:t>4.</w:t>
            </w:r>
            <w:r>
              <w:rPr>
                <w:rFonts w:ascii="仿宋" w:hAnsi="仿宋" w:cs="仿宋" w:eastAsia="仿宋"/>
                <w:sz w:val="28"/>
              </w:rPr>
              <w:t>快进流速范围：0.01-2400ml/h。</w:t>
            </w:r>
          </w:p>
          <w:p>
            <w:pPr>
              <w:pStyle w:val="null3"/>
              <w:ind w:firstLine="426"/>
              <w:jc w:val="both"/>
            </w:pPr>
            <w:r>
              <w:rPr>
                <w:rFonts w:ascii="仿宋" w:hAnsi="仿宋" w:cs="仿宋" w:eastAsia="仿宋"/>
                <w:sz w:val="28"/>
              </w:rPr>
              <w:t>5.</w:t>
            </w:r>
            <w:r>
              <w:rPr>
                <w:rFonts w:ascii="仿宋" w:hAnsi="仿宋" w:cs="仿宋" w:eastAsia="仿宋"/>
                <w:sz w:val="28"/>
              </w:rPr>
              <w:t>自动识别注射器：规格为1ml、2ml、3ml、5ml、10（12）ml、20 ml、30 ml、50（60）ml等所有符合标准的注射器。</w:t>
            </w:r>
          </w:p>
          <w:p>
            <w:pPr>
              <w:pStyle w:val="null3"/>
              <w:ind w:firstLine="426"/>
              <w:jc w:val="both"/>
            </w:pPr>
            <w:r>
              <w:rPr>
                <w:rFonts w:ascii="仿宋" w:hAnsi="仿宋" w:cs="仿宋" w:eastAsia="仿宋"/>
                <w:sz w:val="28"/>
              </w:rPr>
              <w:t>6、注射器可进行全自动方式装载。</w:t>
            </w:r>
          </w:p>
          <w:p>
            <w:pPr>
              <w:pStyle w:val="null3"/>
              <w:ind w:firstLine="426"/>
              <w:jc w:val="both"/>
            </w:pPr>
            <w:r>
              <w:rPr>
                <w:rFonts w:ascii="仿宋" w:hAnsi="仿宋" w:cs="仿宋" w:eastAsia="仿宋"/>
                <w:sz w:val="28"/>
              </w:rPr>
              <w:t>7、KVO</w:t>
            </w:r>
            <w:r>
              <w:rPr>
                <w:rFonts w:ascii="仿宋" w:hAnsi="仿宋" w:cs="仿宋" w:eastAsia="仿宋"/>
                <w:sz w:val="28"/>
              </w:rPr>
              <w:t>速度:0.1-5.0mL/h可调。</w:t>
            </w:r>
          </w:p>
          <w:p>
            <w:pPr>
              <w:pStyle w:val="null3"/>
              <w:ind w:firstLine="426"/>
              <w:jc w:val="both"/>
            </w:pPr>
            <w:r>
              <w:rPr>
                <w:rFonts w:ascii="仿宋" w:hAnsi="仿宋" w:cs="仿宋" w:eastAsia="仿宋"/>
                <w:sz w:val="28"/>
              </w:rPr>
              <w:t>8.</w:t>
            </w:r>
            <w:r>
              <w:rPr>
                <w:rFonts w:ascii="仿宋" w:hAnsi="仿宋" w:cs="仿宋" w:eastAsia="仿宋"/>
                <w:sz w:val="28"/>
              </w:rPr>
              <w:t>支持Anti-bolus功能，丸剂量≤0.1ml；。</w:t>
            </w:r>
          </w:p>
          <w:p>
            <w:pPr>
              <w:pStyle w:val="null3"/>
              <w:ind w:firstLine="426"/>
              <w:jc w:val="both"/>
            </w:pPr>
            <w:r>
              <w:rPr>
                <w:rFonts w:ascii="仿宋" w:hAnsi="仿宋" w:cs="仿宋" w:eastAsia="仿宋"/>
                <w:sz w:val="28"/>
              </w:rPr>
              <w:t>9.</w:t>
            </w:r>
            <w:r>
              <w:rPr>
                <w:rFonts w:ascii="仿宋" w:hAnsi="仿宋" w:cs="仿宋" w:eastAsia="仿宋"/>
                <w:sz w:val="28"/>
              </w:rPr>
              <w:t>阻塞压力检测范围：阻塞压力检测范围：50 - 1200mmHg,可以选择≥16档阻塞级别，并且可以动态显示管路的压力状态。</w:t>
            </w:r>
          </w:p>
          <w:p>
            <w:pPr>
              <w:pStyle w:val="null3"/>
              <w:ind w:firstLine="426"/>
              <w:jc w:val="both"/>
            </w:pPr>
            <w:r>
              <w:rPr>
                <w:rFonts w:ascii="仿宋" w:hAnsi="仿宋" w:cs="仿宋" w:eastAsia="仿宋"/>
                <w:sz w:val="28"/>
              </w:rPr>
              <w:t>10.</w:t>
            </w:r>
            <w:r>
              <w:rPr>
                <w:rFonts w:ascii="仿宋" w:hAnsi="仿宋" w:cs="仿宋" w:eastAsia="仿宋"/>
                <w:sz w:val="28"/>
              </w:rPr>
              <w:t>分低、中、高三级报警，并分别以声光提示，同时显示具体报警信息。</w:t>
            </w:r>
          </w:p>
          <w:p>
            <w:pPr>
              <w:pStyle w:val="null3"/>
              <w:ind w:firstLine="426"/>
              <w:jc w:val="both"/>
            </w:pPr>
            <w:r>
              <w:rPr/>
              <w:t>11</w:t>
            </w:r>
            <w:r>
              <w:rPr>
                <w:rFonts w:ascii="仿宋" w:hAnsi="仿宋" w:cs="仿宋" w:eastAsia="仿宋"/>
                <w:sz w:val="28"/>
              </w:rPr>
              <w:t>.</w:t>
            </w:r>
            <w:r>
              <w:rPr>
                <w:rFonts w:ascii="仿宋" w:hAnsi="仿宋" w:cs="仿宋" w:eastAsia="仿宋"/>
                <w:sz w:val="28"/>
              </w:rPr>
              <w:t>具有注射器位移监测系统，实时监控注射器位移，大幅提高注射的精确度。（提供彩页或技术白皮书或其他证明材料）</w:t>
            </w:r>
          </w:p>
          <w:p>
            <w:pPr>
              <w:pStyle w:val="null3"/>
              <w:ind w:firstLine="426"/>
              <w:jc w:val="both"/>
            </w:pPr>
            <w:r>
              <w:rPr>
                <w:rFonts w:ascii="仿宋" w:hAnsi="仿宋" w:cs="仿宋" w:eastAsia="仿宋"/>
                <w:sz w:val="28"/>
              </w:rPr>
              <w:t>12.</w:t>
            </w:r>
            <w:r>
              <w:rPr>
                <w:rFonts w:ascii="仿宋" w:hAnsi="仿宋" w:cs="仿宋" w:eastAsia="仿宋"/>
                <w:sz w:val="28"/>
              </w:rPr>
              <w:t>可在屏幕上显示虚拟注射器以方便观察药物余量。</w:t>
            </w:r>
          </w:p>
          <w:p>
            <w:pPr>
              <w:pStyle w:val="null3"/>
              <w:ind w:firstLine="426"/>
              <w:jc w:val="both"/>
            </w:pPr>
            <w:r>
              <w:rPr>
                <w:rFonts w:ascii="仿宋" w:hAnsi="仿宋" w:cs="仿宋" w:eastAsia="仿宋"/>
                <w:sz w:val="28"/>
              </w:rPr>
              <w:t>13.</w:t>
            </w:r>
            <w:r>
              <w:rPr>
                <w:rFonts w:ascii="仿宋" w:hAnsi="仿宋" w:cs="仿宋" w:eastAsia="仿宋"/>
                <w:sz w:val="28"/>
              </w:rPr>
              <w:t>无需任何配件，支持两个泵之间叠加。</w:t>
            </w:r>
          </w:p>
          <w:p>
            <w:pPr>
              <w:pStyle w:val="null3"/>
              <w:ind w:firstLine="426"/>
              <w:jc w:val="both"/>
            </w:pPr>
            <w:r>
              <w:rPr>
                <w:rFonts w:ascii="仿宋" w:hAnsi="仿宋" w:cs="仿宋" w:eastAsia="仿宋"/>
                <w:sz w:val="28"/>
              </w:rPr>
              <w:t>14.</w:t>
            </w:r>
            <w:r>
              <w:rPr>
                <w:rFonts w:ascii="仿宋" w:hAnsi="仿宋" w:cs="仿宋" w:eastAsia="仿宋"/>
                <w:sz w:val="28"/>
              </w:rPr>
              <w:t>报警：输注即将完成；输注完成；输注完成进入 KVO；注射器即将排空； 注射器排空；输注阻塞；电池电量低；电池耗尽，即将关机；无电池；无外部电源；KVO 完成；遗忘操作；级联失效；待机结束；压杆异常；推头异常；阻塞预警；管路脱落；推头位移异常；再报警等功能：静音报警声音后，若仍然存在报警，约2分钟后，将继续报警。</w:t>
            </w:r>
          </w:p>
          <w:p>
            <w:pPr>
              <w:pStyle w:val="null3"/>
              <w:ind w:firstLine="426"/>
              <w:jc w:val="both"/>
            </w:pPr>
            <w:r>
              <w:rPr>
                <w:rFonts w:ascii="仿宋" w:hAnsi="仿宋" w:cs="仿宋" w:eastAsia="仿宋"/>
                <w:sz w:val="28"/>
              </w:rPr>
              <w:t>15.</w:t>
            </w:r>
            <w:r>
              <w:rPr>
                <w:rFonts w:ascii="仿宋" w:hAnsi="仿宋" w:cs="仿宋" w:eastAsia="仿宋"/>
                <w:sz w:val="28"/>
              </w:rPr>
              <w:t>主界面可显示输注药物的中文名字，并支持中文药物检索。</w:t>
            </w:r>
          </w:p>
          <w:p>
            <w:pPr>
              <w:pStyle w:val="null3"/>
              <w:ind w:firstLine="426"/>
              <w:jc w:val="both"/>
            </w:pPr>
            <w:r>
              <w:rPr>
                <w:rFonts w:ascii="仿宋" w:hAnsi="仿宋" w:cs="仿宋" w:eastAsia="仿宋"/>
                <w:sz w:val="28"/>
              </w:rPr>
              <w:t>16.</w:t>
            </w:r>
            <w:r>
              <w:rPr>
                <w:rFonts w:ascii="仿宋" w:hAnsi="仿宋" w:cs="仿宋" w:eastAsia="仿宋"/>
                <w:sz w:val="28"/>
              </w:rPr>
              <w:t>严格参照中国行业标准药物颜色显示色块；支持使用≥100种颜色标识药物。</w:t>
            </w:r>
          </w:p>
          <w:p>
            <w:pPr>
              <w:pStyle w:val="null3"/>
              <w:ind w:firstLine="426"/>
              <w:jc w:val="both"/>
            </w:pPr>
            <w:r>
              <w:rPr>
                <w:rFonts w:ascii="仿宋" w:hAnsi="仿宋" w:cs="仿宋" w:eastAsia="仿宋"/>
                <w:sz w:val="28"/>
              </w:rPr>
              <w:t>17.</w:t>
            </w:r>
            <w:r>
              <w:rPr>
                <w:rFonts w:ascii="仿宋" w:hAnsi="仿宋" w:cs="仿宋" w:eastAsia="仿宋"/>
                <w:sz w:val="28"/>
              </w:rPr>
              <w:t>支持 DERS 功能，可以根据事先在药物库文件中设置好的参数限值，限制设置药物 的输注参数不能超过药物库的硬限值；设置药物的输注参数超过药物库的软限值且在 硬限值范围内时，本设备有提示但仍能启动输注。</w:t>
            </w:r>
          </w:p>
          <w:p>
            <w:pPr>
              <w:pStyle w:val="null3"/>
              <w:ind w:firstLine="426"/>
              <w:jc w:val="both"/>
            </w:pPr>
            <w:r>
              <w:rPr>
                <w:rFonts w:ascii="仿宋" w:hAnsi="仿宋" w:cs="仿宋" w:eastAsia="仿宋"/>
                <w:sz w:val="28"/>
              </w:rPr>
              <w:t>18.</w:t>
            </w:r>
            <w:r>
              <w:rPr>
                <w:rFonts w:ascii="仿宋" w:hAnsi="仿宋" w:cs="仿宋" w:eastAsia="仿宋"/>
                <w:sz w:val="28"/>
              </w:rPr>
              <w:t>能够存储、回放≥4000组历史信息记录。</w:t>
            </w:r>
          </w:p>
          <w:p>
            <w:pPr>
              <w:pStyle w:val="null3"/>
              <w:ind w:firstLine="426"/>
              <w:jc w:val="both"/>
            </w:pPr>
            <w:r>
              <w:rPr>
                <w:rFonts w:ascii="仿宋" w:hAnsi="仿宋" w:cs="仿宋" w:eastAsia="仿宋"/>
                <w:sz w:val="28"/>
              </w:rPr>
              <w:t>19.</w:t>
            </w:r>
            <w:r>
              <w:rPr>
                <w:rFonts w:ascii="仿宋" w:hAnsi="仿宋" w:cs="仿宋" w:eastAsia="仿宋"/>
                <w:sz w:val="28"/>
              </w:rPr>
              <w:t>可连接条码扫描仪，快速录入患者信息。</w:t>
            </w:r>
          </w:p>
          <w:p>
            <w:pPr>
              <w:pStyle w:val="null3"/>
              <w:ind w:firstLine="426"/>
              <w:jc w:val="both"/>
            </w:pPr>
            <w:r>
              <w:rPr>
                <w:rFonts w:ascii="仿宋" w:hAnsi="仿宋" w:cs="仿宋" w:eastAsia="仿宋"/>
                <w:sz w:val="28"/>
              </w:rPr>
              <w:t>20.</w:t>
            </w:r>
            <w:r>
              <w:rPr>
                <w:rFonts w:ascii="仿宋" w:hAnsi="仿宋" w:cs="仿宋" w:eastAsia="仿宋"/>
                <w:sz w:val="28"/>
              </w:rPr>
              <w:t>重量：≤1.8Kg（含锂电池）。</w:t>
            </w:r>
          </w:p>
          <w:p>
            <w:pPr>
              <w:pStyle w:val="null3"/>
              <w:jc w:val="left"/>
            </w:pPr>
            <w:r>
              <w:rPr>
                <w:rFonts w:ascii="仿宋" w:hAnsi="仿宋" w:cs="仿宋" w:eastAsia="仿宋"/>
                <w:sz w:val="28"/>
              </w:rPr>
              <w:t>21.</w:t>
            </w:r>
            <w:r>
              <w:rPr>
                <w:rFonts w:ascii="仿宋" w:hAnsi="仿宋" w:cs="仿宋" w:eastAsia="仿宋"/>
                <w:sz w:val="28"/>
              </w:rPr>
              <w:t>锂电池续航时间：≥15h@5ml/h。</w:t>
            </w:r>
          </w:p>
        </w:tc>
      </w:tr>
    </w:tbl>
    <w:p>
      <w:pPr>
        <w:pStyle w:val="null3"/>
        <w:jc w:val="left"/>
      </w:pPr>
      <w:r>
        <w:rPr/>
        <w:t>采购包2：</w:t>
      </w:r>
    </w:p>
    <w:p>
      <w:pPr>
        <w:pStyle w:val="null3"/>
        <w:jc w:val="left"/>
      </w:pPr>
      <w:r>
        <w:rPr/>
        <w:t>标的名称：心电监护仪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ind w:firstLine="426"/>
              <w:jc w:val="both"/>
            </w:pPr>
            <w:r>
              <w:rPr>
                <w:rFonts w:ascii="仿宋" w:hAnsi="仿宋" w:cs="仿宋" w:eastAsia="仿宋"/>
                <w:sz w:val="28"/>
              </w:rPr>
              <w:t>参数配置</w:t>
            </w:r>
          </w:p>
          <w:p>
            <w:pPr>
              <w:pStyle w:val="null3"/>
              <w:ind w:firstLine="426"/>
              <w:jc w:val="both"/>
            </w:pPr>
            <w:r>
              <w:rPr>
                <w:rFonts w:ascii="仿宋" w:hAnsi="仿宋" w:cs="仿宋" w:eastAsia="仿宋"/>
                <w:sz w:val="28"/>
              </w:rPr>
              <w:t>1</w:t>
            </w:r>
            <w:r>
              <w:rPr>
                <w:rFonts w:ascii="仿宋" w:hAnsi="仿宋" w:cs="仿宋" w:eastAsia="仿宋"/>
                <w:sz w:val="28"/>
              </w:rPr>
              <w:t>、功能配置：心电、无创血压、血氧饱和度、呼吸、脉搏。</w:t>
            </w:r>
          </w:p>
          <w:p>
            <w:pPr>
              <w:pStyle w:val="null3"/>
              <w:ind w:firstLine="426"/>
              <w:jc w:val="both"/>
            </w:pPr>
            <w:r>
              <w:rPr>
                <w:rFonts w:ascii="仿宋" w:hAnsi="仿宋" w:cs="仿宋" w:eastAsia="仿宋"/>
                <w:sz w:val="28"/>
              </w:rPr>
              <w:t>2</w:t>
            </w:r>
            <w:r>
              <w:rPr>
                <w:rFonts w:ascii="仿宋" w:hAnsi="仿宋" w:cs="仿宋" w:eastAsia="仿宋"/>
                <w:sz w:val="28"/>
              </w:rPr>
              <w:t>、适用于成人。</w:t>
            </w:r>
          </w:p>
          <w:p>
            <w:pPr>
              <w:pStyle w:val="null3"/>
              <w:ind w:firstLine="426"/>
              <w:jc w:val="both"/>
            </w:pPr>
            <w:r>
              <w:rPr>
                <w:rFonts w:ascii="仿宋" w:hAnsi="仿宋" w:cs="仿宋" w:eastAsia="仿宋"/>
                <w:sz w:val="28"/>
              </w:rPr>
              <w:t>3</w:t>
            </w:r>
            <w:r>
              <w:rPr>
                <w:rFonts w:ascii="仿宋" w:hAnsi="仿宋" w:cs="仿宋" w:eastAsia="仿宋"/>
                <w:sz w:val="28"/>
              </w:rPr>
              <w:t>、整机低功耗，无风扇设计。带可充电锂电池，供电时间≥4小时。</w:t>
            </w:r>
          </w:p>
          <w:p>
            <w:pPr>
              <w:pStyle w:val="null3"/>
              <w:ind w:firstLine="426"/>
              <w:jc w:val="both"/>
            </w:pPr>
            <w:r>
              <w:rPr>
                <w:rFonts w:ascii="仿宋" w:hAnsi="仿宋" w:cs="仿宋" w:eastAsia="仿宋"/>
                <w:sz w:val="28"/>
              </w:rPr>
              <w:t>4</w:t>
            </w:r>
            <w:r>
              <w:rPr>
                <w:rFonts w:ascii="仿宋" w:hAnsi="仿宋" w:cs="仿宋" w:eastAsia="仿宋"/>
                <w:sz w:val="28"/>
              </w:rPr>
              <w:t>、显示屏:≥10英寸TFT高清晰度真彩色显示屏、分辨率≥800×600。</w:t>
            </w:r>
          </w:p>
          <w:p>
            <w:pPr>
              <w:pStyle w:val="null3"/>
              <w:ind w:firstLine="426"/>
              <w:jc w:val="both"/>
            </w:pPr>
            <w:r>
              <w:rPr>
                <w:rFonts w:ascii="仿宋" w:hAnsi="仿宋" w:cs="仿宋" w:eastAsia="仿宋"/>
                <w:sz w:val="28"/>
              </w:rPr>
              <w:t>5</w:t>
            </w:r>
            <w:r>
              <w:rPr>
                <w:rFonts w:ascii="仿宋" w:hAnsi="仿宋" w:cs="仿宋" w:eastAsia="仿宋"/>
                <w:sz w:val="28"/>
              </w:rPr>
              <w:t>、主机结构:一体机,机身配备手柄，方便提挂。</w:t>
            </w:r>
          </w:p>
          <w:p>
            <w:pPr>
              <w:pStyle w:val="null3"/>
              <w:ind w:firstLine="426"/>
              <w:jc w:val="both"/>
            </w:pPr>
            <w:r>
              <w:rPr>
                <w:rFonts w:ascii="仿宋" w:hAnsi="仿宋" w:cs="仿宋" w:eastAsia="仿宋"/>
                <w:sz w:val="28"/>
              </w:rPr>
              <w:t>6</w:t>
            </w:r>
            <w:r>
              <w:rPr>
                <w:rFonts w:ascii="仿宋" w:hAnsi="仿宋" w:cs="仿宋" w:eastAsia="仿宋"/>
                <w:sz w:val="28"/>
              </w:rPr>
              <w:t>、显示方式:≥8道波形同屏显示,具备呼吸氧合度、趋势共存、大字体等多种显示界面。</w:t>
            </w:r>
          </w:p>
          <w:p>
            <w:pPr>
              <w:pStyle w:val="null3"/>
              <w:ind w:firstLine="426"/>
              <w:jc w:val="both"/>
            </w:pPr>
            <w:r>
              <w:rPr>
                <w:rFonts w:ascii="仿宋" w:hAnsi="仿宋" w:cs="仿宋" w:eastAsia="仿宋"/>
                <w:sz w:val="28"/>
              </w:rPr>
              <w:t>7</w:t>
            </w:r>
            <w:r>
              <w:rPr>
                <w:rFonts w:ascii="仿宋" w:hAnsi="仿宋" w:cs="仿宋" w:eastAsia="仿宋"/>
                <w:sz w:val="28"/>
              </w:rPr>
              <w:t>、附件为原厂的心电、血氧、血压附件。</w:t>
            </w:r>
          </w:p>
          <w:p>
            <w:pPr>
              <w:pStyle w:val="null3"/>
              <w:ind w:firstLine="426"/>
              <w:jc w:val="both"/>
            </w:pPr>
            <w:r>
              <w:rPr>
                <w:rFonts w:ascii="仿宋" w:hAnsi="仿宋" w:cs="仿宋" w:eastAsia="仿宋"/>
                <w:sz w:val="28"/>
              </w:rPr>
              <w:t>8</w:t>
            </w:r>
            <w:r>
              <w:rPr>
                <w:rFonts w:ascii="仿宋" w:hAnsi="仿宋" w:cs="仿宋" w:eastAsia="仿宋"/>
                <w:sz w:val="28"/>
              </w:rPr>
              <w:t>、操作方式为中文操作界面，支持病人信息中文文字输入、软按键操作。</w:t>
            </w:r>
          </w:p>
          <w:p>
            <w:pPr>
              <w:pStyle w:val="null3"/>
              <w:ind w:firstLine="426"/>
              <w:jc w:val="both"/>
            </w:pPr>
            <w:r>
              <w:rPr>
                <w:rFonts w:ascii="仿宋" w:hAnsi="仿宋" w:cs="仿宋" w:eastAsia="仿宋"/>
                <w:sz w:val="28"/>
              </w:rPr>
              <w:t>9</w:t>
            </w:r>
            <w:r>
              <w:rPr>
                <w:rFonts w:ascii="仿宋" w:hAnsi="仿宋" w:cs="仿宋" w:eastAsia="仿宋"/>
                <w:sz w:val="28"/>
              </w:rPr>
              <w:t>、数据存储:具备超过120小时趋势图表、100个报警事件、100个心律失常、1000组无创血压测量的存储与回顾功能。</w:t>
            </w:r>
          </w:p>
          <w:p>
            <w:pPr>
              <w:pStyle w:val="null3"/>
              <w:ind w:firstLine="426"/>
              <w:jc w:val="both"/>
            </w:pPr>
            <w:r>
              <w:rPr>
                <w:rFonts w:ascii="仿宋" w:hAnsi="仿宋" w:cs="仿宋" w:eastAsia="仿宋"/>
                <w:sz w:val="28"/>
              </w:rPr>
              <w:t>报警功能</w:t>
            </w:r>
          </w:p>
          <w:p>
            <w:pPr>
              <w:pStyle w:val="null3"/>
              <w:ind w:firstLine="426"/>
              <w:jc w:val="both"/>
            </w:pPr>
            <w:r>
              <w:rPr>
                <w:rFonts w:ascii="仿宋" w:hAnsi="仿宋" w:cs="仿宋" w:eastAsia="仿宋"/>
                <w:sz w:val="28"/>
              </w:rPr>
              <w:t>1</w:t>
            </w:r>
            <w:r>
              <w:rPr>
                <w:rFonts w:ascii="仿宋" w:hAnsi="仿宋" w:cs="仿宋" w:eastAsia="仿宋"/>
                <w:sz w:val="28"/>
              </w:rPr>
              <w:t>、报警要求：所有监护参数具备上、下限报警设置功能。</w:t>
            </w:r>
          </w:p>
          <w:p>
            <w:pPr>
              <w:pStyle w:val="null3"/>
              <w:ind w:firstLine="426"/>
              <w:jc w:val="both"/>
            </w:pPr>
            <w:r>
              <w:rPr>
                <w:rFonts w:ascii="仿宋" w:hAnsi="仿宋" w:cs="仿宋" w:eastAsia="仿宋"/>
                <w:sz w:val="28"/>
              </w:rPr>
              <w:t>2</w:t>
            </w:r>
            <w:r>
              <w:rPr>
                <w:rFonts w:ascii="仿宋" w:hAnsi="仿宋" w:cs="仿宋" w:eastAsia="仿宋"/>
                <w:sz w:val="28"/>
              </w:rPr>
              <w:t>、报警提示:声、光双重报警。</w:t>
            </w:r>
          </w:p>
          <w:p>
            <w:pPr>
              <w:pStyle w:val="null3"/>
              <w:ind w:firstLine="426"/>
              <w:jc w:val="both"/>
            </w:pPr>
            <w:r>
              <w:rPr>
                <w:rFonts w:ascii="仿宋" w:hAnsi="仿宋" w:cs="仿宋" w:eastAsia="仿宋"/>
                <w:sz w:val="28"/>
              </w:rPr>
              <w:t>3</w:t>
            </w:r>
            <w:r>
              <w:rPr>
                <w:rFonts w:ascii="仿宋" w:hAnsi="仿宋" w:cs="仿宋" w:eastAsia="仿宋"/>
                <w:sz w:val="28"/>
              </w:rPr>
              <w:t>、报警事件记忆:可回顾。</w:t>
            </w:r>
          </w:p>
          <w:p>
            <w:pPr>
              <w:pStyle w:val="null3"/>
              <w:ind w:firstLine="426"/>
              <w:jc w:val="both"/>
            </w:pPr>
            <w:r>
              <w:rPr>
                <w:rFonts w:ascii="仿宋" w:hAnsi="仿宋" w:cs="仿宋" w:eastAsia="仿宋"/>
                <w:sz w:val="28"/>
              </w:rPr>
              <w:t>电源</w:t>
            </w:r>
          </w:p>
          <w:p>
            <w:pPr>
              <w:pStyle w:val="null3"/>
              <w:ind w:firstLine="426"/>
              <w:jc w:val="both"/>
            </w:pPr>
            <w:r>
              <w:rPr>
                <w:rFonts w:ascii="仿宋" w:hAnsi="仿宋" w:cs="仿宋" w:eastAsia="仿宋"/>
                <w:sz w:val="28"/>
              </w:rPr>
              <w:t>1</w:t>
            </w:r>
            <w:r>
              <w:rPr>
                <w:rFonts w:ascii="仿宋" w:hAnsi="仿宋" w:cs="仿宋" w:eastAsia="仿宋"/>
                <w:sz w:val="28"/>
              </w:rPr>
              <w:t>、电源要求：交、直流两用,交流：220V/50HZ</w:t>
            </w:r>
          </w:p>
          <w:p>
            <w:pPr>
              <w:pStyle w:val="null3"/>
              <w:ind w:firstLine="426"/>
              <w:jc w:val="both"/>
            </w:pPr>
            <w:r>
              <w:rPr>
                <w:rFonts w:ascii="仿宋" w:hAnsi="仿宋" w:cs="仿宋" w:eastAsia="仿宋"/>
                <w:sz w:val="28"/>
              </w:rPr>
              <w:t>2</w:t>
            </w:r>
            <w:r>
              <w:rPr>
                <w:rFonts w:ascii="仿宋" w:hAnsi="仿宋" w:cs="仿宋" w:eastAsia="仿宋"/>
                <w:sz w:val="28"/>
              </w:rPr>
              <w:t>、内置可充电电池:使用时间≥240分钟,电池用户可拔插、更换。</w:t>
            </w:r>
          </w:p>
        </w:tc>
      </w:tr>
      <w:tr>
        <w:tc>
          <w:tcPr>
            <w:tcW w:type="dxa" w:w="2769"/>
          </w:tcPr>
          <w:p>
            <w:pPr>
              <w:pStyle w:val="null3"/>
              <w:jc w:val="left"/>
            </w:pPr>
            <w:r>
              <w:rPr/>
              <w:t>2</w:t>
            </w:r>
          </w:p>
        </w:tc>
        <w:tc>
          <w:tcPr>
            <w:tcW w:type="dxa" w:w="2769"/>
          </w:tcPr>
          <w:p>
            <w:pPr>
              <w:pStyle w:val="null3"/>
              <w:jc w:val="left"/>
            </w:pPr>
            <w:r>
              <w:rPr/>
              <w:t>★</w:t>
            </w:r>
          </w:p>
        </w:tc>
        <w:tc>
          <w:tcPr>
            <w:tcW w:type="dxa" w:w="2769"/>
          </w:tcPr>
          <w:p>
            <w:pPr>
              <w:pStyle w:val="null3"/>
              <w:ind w:firstLine="426"/>
              <w:jc w:val="both"/>
            </w:pPr>
            <w:r>
              <w:rPr>
                <w:rFonts w:ascii="仿宋" w:hAnsi="仿宋" w:cs="仿宋" w:eastAsia="仿宋"/>
                <w:sz w:val="28"/>
              </w:rPr>
              <w:t>★其他商务要求</w:t>
            </w:r>
          </w:p>
          <w:p>
            <w:pPr>
              <w:pStyle w:val="null3"/>
              <w:ind w:firstLine="426"/>
              <w:jc w:val="both"/>
            </w:pPr>
            <w:r>
              <w:rPr>
                <w:rFonts w:ascii="仿宋" w:hAnsi="仿宋" w:cs="仿宋" w:eastAsia="仿宋"/>
                <w:sz w:val="28"/>
              </w:rPr>
              <w:t>1、</w:t>
            </w:r>
            <w:r>
              <w:rPr>
                <w:rFonts w:ascii="仿宋" w:hAnsi="仿宋" w:cs="仿宋" w:eastAsia="仿宋"/>
                <w:sz w:val="28"/>
              </w:rPr>
              <w:t>整机质保期：≥2年；</w:t>
            </w:r>
          </w:p>
          <w:p>
            <w:pPr>
              <w:pStyle w:val="null3"/>
              <w:ind w:firstLine="426"/>
              <w:jc w:val="both"/>
            </w:pPr>
            <w:r>
              <w:rPr>
                <w:rFonts w:ascii="仿宋" w:hAnsi="仿宋" w:cs="仿宋" w:eastAsia="仿宋"/>
                <w:sz w:val="28"/>
              </w:rPr>
              <w:t>2、维修响应时间（现场或远程响应）：≤4小时；</w:t>
            </w:r>
          </w:p>
          <w:p>
            <w:pPr>
              <w:pStyle w:val="null3"/>
              <w:ind w:firstLine="426"/>
              <w:jc w:val="both"/>
            </w:pPr>
            <w:r>
              <w:rPr>
                <w:rFonts w:ascii="仿宋" w:hAnsi="仿宋" w:cs="仿宋" w:eastAsia="仿宋"/>
                <w:sz w:val="28"/>
              </w:rPr>
              <w:t>3、</w:t>
            </w:r>
            <w:r>
              <w:rPr>
                <w:rFonts w:ascii="仿宋" w:hAnsi="仿宋" w:cs="仿宋" w:eastAsia="仿宋"/>
                <w:sz w:val="28"/>
              </w:rPr>
              <w:t>配备心电监护仪导联线：2套；</w:t>
            </w:r>
          </w:p>
        </w:tc>
      </w:tr>
    </w:tbl>
    <w:p>
      <w:pPr>
        <w:pStyle w:val="null3"/>
        <w:jc w:val="left"/>
      </w:pPr>
      <w:r>
        <w:rPr/>
        <w:t>标的名称：纤维支气管镜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ind w:firstLine="426"/>
              <w:jc w:val="both"/>
            </w:pPr>
            <w:r>
              <w:rPr>
                <w:rFonts w:ascii="仿宋" w:hAnsi="仿宋" w:cs="仿宋" w:eastAsia="仿宋"/>
                <w:sz w:val="28"/>
              </w:rPr>
              <w:t>1.</w:t>
            </w:r>
            <w:r>
              <w:rPr>
                <w:rFonts w:ascii="仿宋" w:hAnsi="仿宋" w:cs="仿宋" w:eastAsia="仿宋"/>
                <w:sz w:val="28"/>
              </w:rPr>
              <w:t>治疗镜（外径5.2mm，内镜2.8mm）</w:t>
            </w:r>
          </w:p>
          <w:p>
            <w:pPr>
              <w:pStyle w:val="null3"/>
              <w:jc w:val="left"/>
            </w:pPr>
            <w:r>
              <w:rPr>
                <w:rFonts w:ascii="仿宋" w:hAnsi="仿宋" w:cs="仿宋" w:eastAsia="仿宋"/>
                <w:sz w:val="28"/>
              </w:rPr>
              <w:t>2.</w:t>
            </w:r>
            <w:r>
              <w:rPr>
                <w:rFonts w:ascii="仿宋" w:hAnsi="仿宋" w:cs="仿宋" w:eastAsia="仿宋"/>
                <w:sz w:val="28"/>
              </w:rPr>
              <w:t>显示屏≥10英寸</w:t>
            </w:r>
          </w:p>
        </w:tc>
      </w:tr>
      <w:tr>
        <w:tc>
          <w:tcPr>
            <w:tcW w:type="dxa" w:w="2769"/>
          </w:tcPr>
          <w:p>
            <w:pPr>
              <w:pStyle w:val="null3"/>
              <w:jc w:val="left"/>
            </w:pPr>
            <w:r>
              <w:rPr/>
              <w:t>2</w:t>
            </w:r>
          </w:p>
        </w:tc>
        <w:tc>
          <w:tcPr>
            <w:tcW w:type="dxa" w:w="2769"/>
          </w:tcPr>
          <w:p>
            <w:pPr>
              <w:pStyle w:val="null3"/>
              <w:jc w:val="left"/>
            </w:pPr>
            <w:r>
              <w:rPr/>
              <w:t>▲</w:t>
            </w:r>
          </w:p>
        </w:tc>
        <w:tc>
          <w:tcPr>
            <w:tcW w:type="dxa" w:w="2769"/>
          </w:tcPr>
          <w:p>
            <w:pPr>
              <w:pStyle w:val="null3"/>
              <w:jc w:val="left"/>
            </w:pPr>
            <w:r>
              <w:rPr>
                <w:rFonts w:ascii="仿宋" w:hAnsi="仿宋" w:cs="仿宋" w:eastAsia="仿宋"/>
                <w:sz w:val="28"/>
              </w:rPr>
              <w:t>▲适用于医院科室现有气管镜工作站系统，可与现有支气管镜配合使用；</w:t>
            </w:r>
          </w:p>
        </w:tc>
      </w:tr>
      <w:tr>
        <w:tc>
          <w:tcPr>
            <w:tcW w:type="dxa" w:w="2769"/>
          </w:tcPr>
          <w:p>
            <w:pPr>
              <w:pStyle w:val="null3"/>
              <w:jc w:val="left"/>
            </w:pPr>
            <w:r>
              <w:rPr/>
              <w:t>3</w:t>
            </w:r>
          </w:p>
        </w:tc>
        <w:tc>
          <w:tcPr>
            <w:tcW w:type="dxa" w:w="2769"/>
          </w:tcPr>
          <w:p>
            <w:pPr>
              <w:pStyle w:val="null3"/>
              <w:jc w:val="left"/>
            </w:pPr>
            <w:r>
              <w:rPr/>
              <w:t>★</w:t>
            </w:r>
          </w:p>
        </w:tc>
        <w:tc>
          <w:tcPr>
            <w:tcW w:type="dxa" w:w="2769"/>
          </w:tcPr>
          <w:p>
            <w:pPr>
              <w:pStyle w:val="null3"/>
              <w:ind w:firstLine="426"/>
              <w:jc w:val="both"/>
            </w:pPr>
            <w:r>
              <w:rPr>
                <w:rFonts w:ascii="仿宋" w:hAnsi="仿宋" w:cs="仿宋" w:eastAsia="仿宋"/>
                <w:sz w:val="28"/>
              </w:rPr>
              <w:t>其他商务要求：</w:t>
            </w:r>
          </w:p>
          <w:p>
            <w:pPr>
              <w:pStyle w:val="null3"/>
              <w:ind w:firstLine="426"/>
              <w:jc w:val="both"/>
            </w:pPr>
            <w:r>
              <w:rPr>
                <w:rFonts w:ascii="仿宋" w:hAnsi="仿宋" w:cs="仿宋" w:eastAsia="仿宋"/>
                <w:sz w:val="28"/>
              </w:rPr>
              <w:t>1.</w:t>
            </w:r>
            <w:r>
              <w:rPr>
                <w:rFonts w:ascii="仿宋" w:hAnsi="仿宋" w:cs="仿宋" w:eastAsia="仿宋"/>
                <w:sz w:val="28"/>
              </w:rPr>
              <w:t>质保期：≥2年</w:t>
            </w:r>
          </w:p>
          <w:p>
            <w:pPr>
              <w:pStyle w:val="null3"/>
              <w:ind w:firstLine="426"/>
              <w:jc w:val="both"/>
            </w:pPr>
            <w:r>
              <w:rPr>
                <w:rFonts w:ascii="仿宋" w:hAnsi="仿宋" w:cs="仿宋" w:eastAsia="仿宋"/>
                <w:sz w:val="28"/>
              </w:rPr>
              <w:t>2.</w:t>
            </w:r>
            <w:r>
              <w:rPr>
                <w:rFonts w:ascii="仿宋" w:hAnsi="仿宋" w:cs="仿宋" w:eastAsia="仿宋"/>
                <w:sz w:val="28"/>
              </w:rPr>
              <w:t>质保期内进行免费维保：每年≥2次；</w:t>
            </w:r>
          </w:p>
          <w:p>
            <w:pPr>
              <w:pStyle w:val="null3"/>
              <w:ind w:firstLine="426"/>
              <w:jc w:val="both"/>
            </w:pPr>
            <w:r>
              <w:rPr>
                <w:rFonts w:ascii="仿宋" w:hAnsi="仿宋" w:cs="仿宋" w:eastAsia="仿宋"/>
                <w:sz w:val="28"/>
              </w:rPr>
              <w:t>3.</w:t>
            </w:r>
            <w:r>
              <w:rPr>
                <w:rFonts w:ascii="仿宋" w:hAnsi="仿宋" w:cs="仿宋" w:eastAsia="仿宋"/>
                <w:sz w:val="28"/>
              </w:rPr>
              <w:t>维修响应时间（现场或远程响应）：≤4小时</w:t>
            </w:r>
          </w:p>
          <w:p>
            <w:pPr>
              <w:pStyle w:val="null3"/>
              <w:jc w:val="left"/>
            </w:pPr>
            <w:r>
              <w:rPr>
                <w:rFonts w:ascii="仿宋" w:hAnsi="仿宋" w:cs="仿宋" w:eastAsia="仿宋"/>
                <w:sz w:val="28"/>
              </w:rPr>
              <w:t>4.</w:t>
            </w:r>
            <w:r>
              <w:rPr>
                <w:rFonts w:ascii="仿宋" w:hAnsi="仿宋" w:cs="仿宋" w:eastAsia="仿宋"/>
                <w:sz w:val="28"/>
              </w:rPr>
              <w:t>培训：每年≥1次使用培训；</w:t>
            </w:r>
          </w:p>
        </w:tc>
      </w:tr>
    </w:tbl>
    <w:p>
      <w:pPr>
        <w:pStyle w:val="null3"/>
        <w:jc w:val="left"/>
      </w:pPr>
      <w:r>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ind w:firstLine="426"/>
              <w:jc w:val="both"/>
            </w:pPr>
            <w:r>
              <w:rPr>
                <w:rFonts w:ascii="仿宋" w:hAnsi="仿宋" w:cs="仿宋" w:eastAsia="仿宋"/>
                <w:sz w:val="28"/>
              </w:rPr>
              <w:t>1、双通道输出，可独立调节</w:t>
            </w:r>
          </w:p>
          <w:p>
            <w:pPr>
              <w:pStyle w:val="null3"/>
              <w:jc w:val="left"/>
            </w:pPr>
            <w:r>
              <w:rPr>
                <w:rFonts w:ascii="仿宋" w:hAnsi="仿宋" w:cs="仿宋" w:eastAsia="仿宋"/>
                <w:sz w:val="28"/>
              </w:rPr>
              <w:t>2、高清显示屏≥6英寸，有语音提示</w:t>
            </w:r>
          </w:p>
        </w:tc>
      </w:tr>
      <w:tr>
        <w:tc>
          <w:tcPr>
            <w:tcW w:type="dxa" w:w="2769"/>
          </w:tcPr>
          <w:p>
            <w:pPr>
              <w:pStyle w:val="null3"/>
              <w:jc w:val="left"/>
            </w:pPr>
            <w:r>
              <w:rPr/>
              <w:t>2</w:t>
            </w:r>
          </w:p>
        </w:tc>
        <w:tc>
          <w:tcPr>
            <w:tcW w:type="dxa" w:w="2769"/>
          </w:tcPr>
          <w:p>
            <w:pPr>
              <w:pStyle w:val="null3"/>
              <w:jc w:val="left"/>
            </w:pPr>
            <w:r>
              <w:rPr/>
              <w:t>▲</w:t>
            </w:r>
          </w:p>
        </w:tc>
        <w:tc>
          <w:tcPr>
            <w:tcW w:type="dxa" w:w="2769"/>
          </w:tcPr>
          <w:p>
            <w:pPr>
              <w:pStyle w:val="null3"/>
              <w:jc w:val="left"/>
            </w:pPr>
            <w:r>
              <w:rPr>
                <w:rFonts w:ascii="仿宋" w:hAnsi="仿宋" w:cs="仿宋" w:eastAsia="仿宋"/>
                <w:sz w:val="28"/>
              </w:rPr>
              <w:t>▲1.超声功率≦8W±20%</w:t>
            </w:r>
          </w:p>
          <w:p>
            <w:pPr>
              <w:pStyle w:val="null3"/>
              <w:jc w:val="left"/>
            </w:pPr>
            <w:r>
              <w:rPr>
                <w:rFonts w:ascii="仿宋" w:hAnsi="仿宋" w:cs="仿宋" w:eastAsia="仿宋"/>
                <w:sz w:val="28"/>
              </w:rPr>
              <w:t>▲2.治疗处方接纳多，≥10个</w:t>
            </w:r>
          </w:p>
          <w:p>
            <w:pPr>
              <w:pStyle w:val="null3"/>
              <w:jc w:val="left"/>
            </w:pPr>
            <w:r>
              <w:rPr>
                <w:rFonts w:ascii="仿宋" w:hAnsi="仿宋" w:cs="仿宋" w:eastAsia="仿宋"/>
                <w:sz w:val="28"/>
              </w:rPr>
              <w:t>▲3.超声波频率：工作精度±15%</w:t>
            </w:r>
          </w:p>
        </w:tc>
      </w:tr>
      <w:tr>
        <w:tc>
          <w:tcPr>
            <w:tcW w:type="dxa" w:w="2769"/>
          </w:tcPr>
          <w:p>
            <w:pPr>
              <w:pStyle w:val="null3"/>
              <w:jc w:val="left"/>
            </w:pPr>
            <w:r>
              <w:rPr/>
              <w:t>3</w:t>
            </w:r>
          </w:p>
        </w:tc>
        <w:tc>
          <w:tcPr>
            <w:tcW w:type="dxa" w:w="2769"/>
          </w:tcPr>
          <w:p>
            <w:pPr>
              <w:pStyle w:val="null3"/>
              <w:jc w:val="left"/>
            </w:pPr>
            <w:r>
              <w:rPr/>
              <w:t>★</w:t>
            </w:r>
          </w:p>
        </w:tc>
        <w:tc>
          <w:tcPr>
            <w:tcW w:type="dxa" w:w="2769"/>
          </w:tcPr>
          <w:p>
            <w:pPr>
              <w:pStyle w:val="null3"/>
              <w:ind w:firstLine="426"/>
              <w:jc w:val="both"/>
            </w:pPr>
            <w:r>
              <w:rPr>
                <w:rFonts w:ascii="仿宋" w:hAnsi="仿宋" w:cs="仿宋" w:eastAsia="仿宋"/>
                <w:sz w:val="28"/>
              </w:rPr>
              <w:t>★其他商务要求：</w:t>
            </w:r>
          </w:p>
          <w:p>
            <w:pPr>
              <w:pStyle w:val="null3"/>
              <w:ind w:firstLine="426"/>
              <w:jc w:val="both"/>
            </w:pPr>
            <w:r>
              <w:rPr>
                <w:rFonts w:ascii="仿宋" w:hAnsi="仿宋" w:cs="仿宋" w:eastAsia="仿宋"/>
                <w:sz w:val="28"/>
              </w:rPr>
              <w:t>1.</w:t>
            </w:r>
            <w:r>
              <w:rPr>
                <w:rFonts w:ascii="仿宋" w:hAnsi="仿宋" w:cs="仿宋" w:eastAsia="仿宋"/>
                <w:sz w:val="28"/>
              </w:rPr>
              <w:t>质保期：≥2年；</w:t>
            </w:r>
          </w:p>
          <w:p>
            <w:pPr>
              <w:pStyle w:val="null3"/>
              <w:jc w:val="left"/>
            </w:pPr>
            <w:r>
              <w:rPr>
                <w:rFonts w:ascii="仿宋" w:hAnsi="仿宋" w:cs="仿宋" w:eastAsia="仿宋"/>
                <w:sz w:val="28"/>
              </w:rPr>
              <w:t>2.</w:t>
            </w:r>
            <w:r>
              <w:rPr>
                <w:rFonts w:ascii="仿宋" w:hAnsi="仿宋" w:cs="仿宋" w:eastAsia="仿宋"/>
                <w:sz w:val="28"/>
              </w:rPr>
              <w:t>维修响应时间（现场或远程响应）：≤4小时；</w:t>
            </w:r>
          </w:p>
        </w:tc>
      </w:tr>
    </w:tbl>
    <w:p>
      <w:pPr>
        <w:pStyle w:val="null3"/>
        <w:jc w:val="left"/>
        <w:outlineLvl w:val="2"/>
      </w:pPr>
      <w:r>
        <w:rPr>
          <w:b/>
          <w:sz w:val="28"/>
        </w:rPr>
        <w:t>3.4.服务要求</w:t>
      </w:r>
    </w:p>
    <w:p>
      <w:pPr>
        <w:pStyle w:val="null3"/>
        <w:jc w:val="left"/>
        <w:outlineLvl w:val="3"/>
      </w:pPr>
      <w:r>
        <w:rPr>
          <w:b/>
          <w:sz w:val="24"/>
        </w:rPr>
        <w:t>3.4.1.服务内容要求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要求名称</w:t>
            </w:r>
          </w:p>
        </w:tc>
        <w:tc>
          <w:tcPr>
            <w:tcW w:type="dxa" w:w="2076"/>
          </w:tcPr>
          <w:p>
            <w:pPr>
              <w:pStyle w:val="null3"/>
              <w:jc w:val="left"/>
            </w:pPr>
            <w:r>
              <w:rPr/>
              <w:t xml:space="preserve"> 要求内容</w:t>
            </w:r>
          </w:p>
        </w:tc>
      </w:tr>
      <w:tr>
        <w:tc>
          <w:tcPr>
            <w:tcW w:type="dxa" w:w="8304"/>
            <w:gridSpan w:val="4"/>
          </w:tcPr>
          <w:p>
            <w:pPr>
              <w:pStyle w:val="null3"/>
              <w:jc w:val="center"/>
            </w:pPr>
            <w:r>
              <w:rPr/>
              <w:t>无</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要求名称</w:t>
            </w:r>
          </w:p>
        </w:tc>
        <w:tc>
          <w:tcPr>
            <w:tcW w:type="dxa" w:w="2076"/>
          </w:tcPr>
          <w:p>
            <w:pPr>
              <w:pStyle w:val="null3"/>
              <w:jc w:val="left"/>
            </w:pPr>
            <w:r>
              <w:rPr/>
              <w:t xml:space="preserve"> 要求内容</w:t>
            </w:r>
          </w:p>
        </w:tc>
      </w:tr>
      <w:tr>
        <w:tc>
          <w:tcPr>
            <w:tcW w:type="dxa" w:w="8304"/>
            <w:gridSpan w:val="4"/>
          </w:tcPr>
          <w:p>
            <w:pPr>
              <w:pStyle w:val="null3"/>
              <w:jc w:val="center"/>
            </w:pPr>
            <w:r>
              <w:rPr/>
              <w:t>无</w:t>
            </w:r>
          </w:p>
        </w:tc>
      </w:tr>
    </w:tbl>
    <w:p>
      <w:pPr>
        <w:pStyle w:val="null3"/>
        <w:jc w:val="left"/>
        <w:outlineLvl w:val="3"/>
      </w:pPr>
      <w:r>
        <w:rPr>
          <w:b/>
          <w:sz w:val="24"/>
        </w:rPr>
        <w:t>3.4.2.商务要求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自合同签订之日起5个工作日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成都市第八人民医院</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一次付清</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支付约定</w:t>
            </w:r>
          </w:p>
        </w:tc>
        <w:tc>
          <w:tcPr>
            <w:tcW w:type="dxa" w:w="2076"/>
          </w:tcPr>
          <w:p>
            <w:pPr>
              <w:pStyle w:val="null3"/>
              <w:jc w:val="left"/>
            </w:pPr>
            <w:r>
              <w:rPr/>
              <w:t>1、中标人向采购人支付履约保证金且出具合法有效完整的发票及凭证资料后，达到付款条件起10日内，支付合同总金额的100.00%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严格按照《财政部关于进一步加强政府采购需求和履约验收管理的指导意见》（财库〔2016〕205号）及政府采购相关法律法规、本项目采购文件要求、中标人的投标文件及承诺以及合同约定进行验收的要求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1、质保期：≥2年； 2、供应商和制造商在质量保证期内应当为采购人提供以下支持和服务： 2.1电话咨询 供应商和制造商应当为采购人提供售后电话，解答采购人在使用中遇到的问题，及时为采购人提出解决问题的建议。 2.2现场响应 采购人遇到使用问题，电话咨询不能解决的，供应商或制造商应在24小时内到达现场进行处理，确保产品正常工作；无法在48小时内解决的，应在48小时内提供备用产品，使采购人能够正常使用。 3、质保期外服务要求 3.1质量保证期过后，供应商和制造商应同样提供免费电话咨询服务，并应承诺提供产品上门维护服务； 3.2备品备件 供应商和制造商售后服务中，维修使用的备品备件应为原厂配件，未经采购人同意不得使用非原厂配件。</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1、在执行本合同中发生的或与本合同有关的争端，双方应通过友好协商解决，经协商在不能达成协议时，应提交采购人所在地的人民法院诉讼解决。 2、法院判决应为最终决定，并对双方具有约束力。 3、除另有诉讼外，诉讼费应由败诉方负担。 4、在诉讼期间，除正在进行诉讼部分外，合同其他部分继续执行。</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自合同签订之日起5个工作日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成都市第八人民医院</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一次付清</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支付约定</w:t>
            </w:r>
          </w:p>
        </w:tc>
        <w:tc>
          <w:tcPr>
            <w:tcW w:type="dxa" w:w="2076"/>
          </w:tcPr>
          <w:p>
            <w:pPr>
              <w:pStyle w:val="null3"/>
              <w:jc w:val="left"/>
            </w:pPr>
            <w:r>
              <w:rPr/>
              <w:t>1、中标人向采购人支付履约保证金且出具合法有效完整的发票及凭证资料后，达到付款条件起10日内，支付合同总金额的100.00%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严格按照《财政部关于进一步加强政府采购需求和履约验收管理的指导意见》（财库〔2016〕205号）及政府采购相关法律法规、本项目采购文件要求、中标人的投标文件及承诺以及合同约定进行验收的要求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1、质保期：≥2年； 2、供应商和制造商在质量保证期内应当为采购人提供以下支持和服务： 2.1电话咨询 供应商和制造商应当为采购人提供售后电话，解答采购人在使用中遇到的问题，及时为采购人提出解决问题的建议。 2.2现场响应 采购人遇到使用问题，电话咨询不能解决的，供应商或制造商应在24小时内到达现场进行处理，确保产品正常工作；无法在48小时内解决的，应在48小时内提供备用产品，使采购人能够正常使用。 3、质保期外服务要求 3.1质量保证期过后，供应商和制造商应同样提供免费电话咨询服务，并应承诺提供产品上门维护服务； 3.2备品备件 供应商和制造商售后服务中，维修使用的备品备件应为原厂配件，未经采购人同意不得使用非原厂配件。</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1、在执行本合同中发生的或与本合同有关的争端，双方应通过友好协商解决，经协商在不能达成协议时，应提交采购人所在地的人民法院诉讼解决。 2、法院判决应为最终决定，并对双方具有约束力。 3、除另有诉讼外，诉讼费应由败诉方负担。 4、在诉讼期间，除正在进行诉讼部分外，合同其他部分继续执行。</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3.5.其他要求</w:t>
      </w:r>
    </w:p>
    <w:p>
      <w:pPr>
        <w:pStyle w:val="null3"/>
        <w:jc w:val="left"/>
      </w:pPr>
      <w:r>
        <w:rPr/>
        <w:t>实施方案要求 1、为更好的保障项目后续实施和履约，供应商提供项目实施方案，方案内容包括但不限于： ①产品质量控制方案；②备货、运输、安装、调试方案；③项目实施进度计划及保障；④针对突发问题的应急等；以上内容可充分结合项目和对应需求实际情况，并针对医院的特点进行详细阐述。 2、为更好的保障项目后续实施和履约，供应商提供售后服务方案，方案内容包括但不限于： ①售后服务管理制度及流程；②售后服务保障团队及人员分工；③售后服务质量保障、巡检、客户建档措施等；以上内容可充分结合项目和对应需求实际情况，并针对医院的特点进行详细阐述。</w:t>
      </w:r>
    </w:p>
    <w:p>
      <w:pPr>
        <w:pStyle w:val="null3"/>
      </w:pPr>
      <w:r>
        <w:rPr/>
        <w:t xml:space="preserve"> </w:t>
        <w:br/>
        <w:br w:type="page"/>
      </w:r>
    </w:p>
    <w:p>
      <w:pPr>
        <w:pStyle w:val="null3"/>
        <w:jc w:val="center"/>
        <w:outlineLvl w:val="1"/>
      </w:pPr>
      <w:r>
        <w:rPr>
          <w:b/>
          <w:sz w:val="36"/>
        </w:rPr>
        <w:t>第四章 资格审查</w:t>
      </w:r>
    </w:p>
    <w:p>
      <w:pPr>
        <w:pStyle w:val="null3"/>
        <w:jc w:val="left"/>
      </w:pPr>
      <w:r>
        <w:rPr/>
        <w:t>开标解密完成后，由采购人、代理机构依据法律法规和招标文件的规定，对成功解密的投标文件中供应商资格证明等进行审查，出具资格审查报告。资格审查标准及要求如下：</w:t>
      </w:r>
    </w:p>
    <w:p>
      <w:pPr>
        <w:pStyle w:val="null3"/>
        <w:jc w:val="left"/>
        <w:outlineLvl w:val="2"/>
      </w:pPr>
      <w:r>
        <w:rPr>
          <w:b/>
          <w:sz w:val="28"/>
        </w:rPr>
        <w:t>4.1.一般资格审查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1、供应商需在项目电子化交易系统中按要求填写《投标（响应）函》完成承诺并进行电子签章。</w:t>
              <w:br/>
              <w:t>2、（1）供应商为法人企业的，提供营业执照副本、税务登记证及组织机构代码证，已根据国务院办公厅关于加快推进“多证合一”改革的指导意见（国发办〔2017〕41号）等政策要求完成多证合一的，提供具有统一社会信用代码的多证合一证照副本。 （2）供应商为事业法人的，提供事业单位法人证书。 （3）供应商为团体组织的，提供对应法人证书。 （4）供应商为其他组织的，提供对应主管部门颁发的准许执业证明文件或营业执照。 （5）供应商为自然人的，提供身份证明材料。</w:t>
            </w:r>
          </w:p>
        </w:tc>
        <w:tc>
          <w:tcPr>
            <w:tcW w:type="dxa" w:w="1910"/>
          </w:tcPr>
          <w:p>
            <w:pPr>
              <w:pStyle w:val="null3"/>
              <w:jc w:val="left"/>
            </w:pPr>
            <w:r>
              <w:rPr/>
              <w:t>营业执照 投标文件封面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投标人提交的相关资格证明材料 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1、供应商需在项目电子化交易系统中按要求填写《投标（响应）函》完成承诺并进行电子签章。</w:t>
              <w:br/>
              <w:t>2、（1）供应商为法人企业的，提供营业执照副本、税务登记证及组织机构代码证，已根据国务院办公厅关于加快推进“多证合一”改革的指导意见（国发办〔2017〕41号）等政策要求完成多证合一的，提供具有统一社会信用代码的多证合一证照副本。 （2）供应商为事业法人的，提供事业单位法人证书。 （3）供应商为团体组织的，提供对应法人证书。 （4）供应商为其他组织的，提供对应主管部门颁发的准许执业证明文件或营业执照。 （5）供应商为自然人的，提供身份证明材料。</w:t>
            </w:r>
          </w:p>
        </w:tc>
        <w:tc>
          <w:tcPr>
            <w:tcW w:type="dxa" w:w="1910"/>
          </w:tcPr>
          <w:p>
            <w:pPr>
              <w:pStyle w:val="null3"/>
              <w:jc w:val="left"/>
            </w:pPr>
            <w:r>
              <w:rPr/>
              <w:t>营业执照 投标文件封面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投标人提交的相关资格证明材料 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2"/>
      </w:pPr>
      <w:r>
        <w:rPr>
          <w:b/>
          <w:sz w:val="28"/>
        </w:rPr>
        <w:t>4.2.落实政府采购政策资格审查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jc w:val="left"/>
        <w:outlineLvl w:val="2"/>
      </w:pPr>
      <w:r>
        <w:rPr>
          <w:b/>
          <w:sz w:val="28"/>
        </w:rPr>
        <w:t>4.3.特定资格审查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供应商为生产厂家应具有符合《医疗器械监督管理条例》等政策法规要求的中华人民共和国医疗器械生产许可证；供应商为非生产厂家应具有符合《医疗器械监督管理条例》等政策法规要求的中华人民共和国医疗器械经营许可证或有效备案表，并提供产品生产厂家的中华人民共和国医疗器械生产许可证。（仅限医疗器械适用）。</w:t>
            </w:r>
          </w:p>
        </w:tc>
        <w:tc>
          <w:tcPr>
            <w:tcW w:type="dxa" w:w="3322"/>
          </w:tcPr>
          <w:p>
            <w:pPr>
              <w:pStyle w:val="null3"/>
              <w:jc w:val="left"/>
            </w:pPr>
            <w:r>
              <w:rPr/>
              <w:t>供应商为生产厂家应具有符合《医疗器械监督管理条例》等政策法规要求的中华人民共和国医疗器械生产许可证；供应商为非生产厂家应具有符合《医疗器械监督管理条例》等政策法规要求的中华人民共和国医疗器械经营许可证或有效备案表，并提供产品生产厂家的中华人民共和国医疗器械生产许可证。（仅限医疗器械适用）。提供证书复印件。</w:t>
            </w:r>
          </w:p>
        </w:tc>
        <w:tc>
          <w:tcPr>
            <w:tcW w:type="dxa" w:w="1910"/>
          </w:tcPr>
          <w:p>
            <w:pPr>
              <w:pStyle w:val="null3"/>
              <w:jc w:val="left"/>
            </w:pPr>
            <w:r>
              <w:rPr/>
              <w:t>营业执照 资质及其他相关证明材料</w:t>
            </w:r>
          </w:p>
        </w:tc>
      </w:tr>
      <w:tr>
        <w:tc>
          <w:tcPr>
            <w:tcW w:type="dxa" w:w="581"/>
          </w:tcPr>
          <w:p>
            <w:pPr>
              <w:pStyle w:val="null3"/>
              <w:jc w:val="center"/>
            </w:pPr>
            <w:r>
              <w:rPr/>
              <w:t>2</w:t>
            </w:r>
          </w:p>
        </w:tc>
        <w:tc>
          <w:tcPr>
            <w:tcW w:type="dxa" w:w="2492"/>
          </w:tcPr>
          <w:p>
            <w:pPr>
              <w:pStyle w:val="null3"/>
              <w:jc w:val="left"/>
            </w:pPr>
            <w:r>
              <w:rPr/>
              <w:t>投标产品需具有符合《医疗器械注册管理办法》等政策法规要求的中华人民共和国医疗器械注册或备案凭证。（仅限医疗器械适用）。</w:t>
            </w:r>
          </w:p>
        </w:tc>
        <w:tc>
          <w:tcPr>
            <w:tcW w:type="dxa" w:w="3322"/>
          </w:tcPr>
          <w:p>
            <w:pPr>
              <w:pStyle w:val="null3"/>
              <w:jc w:val="left"/>
            </w:pPr>
            <w:r>
              <w:rPr/>
              <w:t>投标产品需具有符合《医疗器械注册管理办法》等政策法规要求的中华人民共和国医疗器械注册或备案凭证。（仅限医疗器械适用），提供证书复印件。</w:t>
            </w:r>
          </w:p>
        </w:tc>
        <w:tc>
          <w:tcPr>
            <w:tcW w:type="dxa" w:w="1910"/>
          </w:tcPr>
          <w:p>
            <w:pPr>
              <w:pStyle w:val="null3"/>
              <w:jc w:val="left"/>
            </w:pPr>
            <w:r>
              <w:rPr/>
              <w:t>营业执照 资质及其他相关证明材料</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供应商为生产厂家应具有符合《医疗器械监督管理条例》等政策法规要求的中华人民共和国医疗器械生产许可证；供应商为非生产厂家应具有符合《医疗器械监督管理条例》等政策法规要求的中华人民共和国医疗器械经营许可证或有效备案表，并提供产品生产厂家的中华人民共和国医疗器械生产许可证。（仅限医疗器械适用）。</w:t>
            </w:r>
          </w:p>
        </w:tc>
        <w:tc>
          <w:tcPr>
            <w:tcW w:type="dxa" w:w="3322"/>
          </w:tcPr>
          <w:p>
            <w:pPr>
              <w:pStyle w:val="null3"/>
              <w:jc w:val="left"/>
            </w:pPr>
            <w:r>
              <w:rPr/>
              <w:t>供应商为生产厂家应具有符合《医疗器械监督管理条例》等政策法规要求的中华人民共和国医疗器械生产许可证；供应商为非生产厂家应具有符合《医疗器械监督管理条例》等政策法规要求的中华人民共和国医疗器械经营许可证或有效备案表，并提供产品生产厂家的中华人民共和国医疗器械生产许可证。（仅限医疗器械适用），提供证书复印件。</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投标产品需具有符合《医疗器械注册管理办法》等政策法规要求的中华人民共和国医疗器械注册或备案凭证。（仅限医疗器械适用）。</w:t>
            </w:r>
          </w:p>
        </w:tc>
        <w:tc>
          <w:tcPr>
            <w:tcW w:type="dxa" w:w="3322"/>
          </w:tcPr>
          <w:p>
            <w:pPr>
              <w:pStyle w:val="null3"/>
              <w:jc w:val="left"/>
            </w:pPr>
            <w:r>
              <w:rPr/>
              <w:t>投标产品需具有符合《医疗器械注册管理办法》等政策法规要求的中华人民共和国医疗器械注册或备案凭证。（仅限医疗器械适用），提供证书复印件。</w:t>
            </w:r>
          </w:p>
        </w:tc>
        <w:tc>
          <w:tcPr>
            <w:tcW w:type="dxa" w:w="1910"/>
          </w:tcPr>
          <w:p>
            <w:pPr>
              <w:pStyle w:val="null3"/>
              <w:jc w:val="left"/>
            </w:pPr>
            <w:r>
              <w:rPr/>
              <w:t>投标（响应）函</w:t>
            </w:r>
          </w:p>
        </w:tc>
      </w:tr>
    </w:tbl>
    <w:p>
      <w:pPr>
        <w:pStyle w:val="null3"/>
      </w:pPr>
      <w:r>
        <w:rPr/>
        <w:t xml:space="preserve"> </w:t>
        <w:br/>
        <w:br w:type="page"/>
      </w:r>
    </w:p>
    <w:p>
      <w:pPr>
        <w:pStyle w:val="null3"/>
        <w:jc w:val="center"/>
        <w:outlineLvl w:val="1"/>
      </w:pPr>
      <w:r>
        <w:rPr>
          <w:b/>
          <w:sz w:val="36"/>
        </w:rPr>
        <w:t>第五章 评标办法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t>二、评标工作由代理机构负责组织，具体评标事务由采购人或者代理机构依法组建的评标委员会负责。评标委员会由采购人代表和评审专家组成。</w:t>
      </w:r>
    </w:p>
    <w:p>
      <w:pPr>
        <w:pStyle w:val="null3"/>
        <w:ind w:firstLine="480"/>
        <w:jc w:val="left"/>
      </w:pPr>
      <w:r>
        <w:rPr/>
        <w:t>三、评标工作应遵循公平、公正、科学及择优的原则，并以相同的评标程序和标准对待所有的投标人。</w:t>
      </w:r>
    </w:p>
    <w:p>
      <w:pPr>
        <w:pStyle w:val="null3"/>
        <w:ind w:firstLine="480"/>
        <w:jc w:val="left"/>
      </w:pPr>
      <w:r>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b/>
          <w:sz w:val="28"/>
        </w:rPr>
        <w:t>5.2.评标委员会</w:t>
      </w:r>
    </w:p>
    <w:p>
      <w:pPr>
        <w:pStyle w:val="null3"/>
        <w:ind w:firstLine="480"/>
        <w:jc w:val="left"/>
      </w:pPr>
      <w:r>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t>四、评标委员会按照招标文件规定的评标程序、评标方法和标准进行评标，并独立履行下列职责：</w:t>
      </w:r>
    </w:p>
    <w:p>
      <w:pPr>
        <w:pStyle w:val="null3"/>
        <w:ind w:firstLine="480"/>
        <w:jc w:val="left"/>
      </w:pPr>
      <w:r>
        <w:rPr/>
        <w:t>(一)熟悉和理解招标文件；</w:t>
      </w:r>
    </w:p>
    <w:p>
      <w:pPr>
        <w:pStyle w:val="null3"/>
        <w:ind w:firstLine="480"/>
        <w:jc w:val="left"/>
      </w:pPr>
      <w:r>
        <w:rPr/>
        <w:t>(二)审查、评价投标文件是否符合招标文件的商务、技术等实质性要求；</w:t>
      </w:r>
    </w:p>
    <w:p>
      <w:pPr>
        <w:pStyle w:val="null3"/>
        <w:ind w:firstLine="480"/>
        <w:jc w:val="left"/>
      </w:pPr>
      <w:r>
        <w:rPr/>
        <w:t>(三)对投标文件进行比较和评价；</w:t>
      </w:r>
    </w:p>
    <w:p>
      <w:pPr>
        <w:pStyle w:val="null3"/>
        <w:ind w:firstLine="480"/>
        <w:jc w:val="left"/>
      </w:pPr>
      <w:r>
        <w:rPr/>
        <w:t>(四)根据需要要求采购人、代理机构对招标文件作出解释；根据需要要求投标人对投标文件有关事项作出澄清、说明或者补正；</w:t>
      </w:r>
    </w:p>
    <w:p>
      <w:pPr>
        <w:pStyle w:val="null3"/>
        <w:ind w:firstLine="480"/>
        <w:jc w:val="left"/>
      </w:pPr>
      <w:r>
        <w:rPr/>
        <w:t>(五)确定中标候选人名单，以及根据采购人委托直接确定中标人；</w:t>
      </w:r>
    </w:p>
    <w:p>
      <w:pPr>
        <w:pStyle w:val="null3"/>
        <w:ind w:firstLine="480"/>
        <w:jc w:val="left"/>
      </w:pPr>
      <w:r>
        <w:rPr/>
        <w:t>(六)起草评标报告并进行签署；</w:t>
      </w:r>
    </w:p>
    <w:p>
      <w:pPr>
        <w:pStyle w:val="null3"/>
        <w:ind w:firstLine="480"/>
        <w:jc w:val="left"/>
      </w:pPr>
      <w:r>
        <w:rPr/>
        <w:t>(七)向采购人、代理机构或者有关部门报告评标中发现的违法行为；</w:t>
      </w:r>
    </w:p>
    <w:p>
      <w:pPr>
        <w:pStyle w:val="null3"/>
        <w:ind w:firstLine="480"/>
        <w:jc w:val="left"/>
      </w:pPr>
      <w:r>
        <w:rPr/>
        <w:t>(八)法律、法规和规章规定的其他职责。</w:t>
      </w:r>
    </w:p>
    <w:p>
      <w:pPr>
        <w:pStyle w:val="null3"/>
        <w:jc w:val="left"/>
        <w:outlineLvl w:val="2"/>
      </w:pPr>
      <w:r>
        <w:rPr>
          <w:b/>
          <w:sz w:val="28"/>
        </w:rPr>
        <w:t>5.3.评标程序</w:t>
      </w:r>
    </w:p>
    <w:p>
      <w:pPr>
        <w:pStyle w:val="null3"/>
        <w:jc w:val="left"/>
        <w:outlineLvl w:val="3"/>
      </w:pPr>
      <w:r>
        <w:rPr>
          <w:b/>
          <w:sz w:val="24"/>
        </w:rPr>
        <w:t>5.3.1.熟悉和理解招标文件</w:t>
      </w:r>
    </w:p>
    <w:p>
      <w:pPr>
        <w:pStyle w:val="null3"/>
        <w:ind w:firstLine="480"/>
        <w:jc w:val="left"/>
      </w:pPr>
      <w:r>
        <w:rPr/>
        <w:t>评标委员会正式评审前，应当对招标文件进行熟悉和理解，内容主要包括招标文件中采购项目技术、服务和商务要求、评审方法和标准以及可能涉及签订政府采购合同的内容等。</w:t>
      </w:r>
    </w:p>
    <w:p>
      <w:pPr>
        <w:pStyle w:val="null3"/>
        <w:jc w:val="left"/>
        <w:outlineLvl w:val="3"/>
      </w:pPr>
      <w:r>
        <w:rPr>
          <w:b/>
          <w:sz w:val="24"/>
        </w:rPr>
        <w:t>5.3.2.停止评标的情形</w:t>
      </w:r>
    </w:p>
    <w:p>
      <w:pPr>
        <w:pStyle w:val="null3"/>
        <w:ind w:firstLine="480"/>
        <w:jc w:val="left"/>
      </w:pPr>
      <w:r>
        <w:rPr/>
        <w:t>本招标文件有下列情形之一的，评标委员会应当停止评标：</w:t>
      </w:r>
    </w:p>
    <w:p>
      <w:pPr>
        <w:pStyle w:val="null3"/>
        <w:ind w:firstLine="480"/>
        <w:jc w:val="left"/>
      </w:pPr>
      <w:r>
        <w:rPr/>
        <w:t>一、招标文件的规定存在歧义、重大缺陷的；</w:t>
      </w:r>
    </w:p>
    <w:p>
      <w:pPr>
        <w:pStyle w:val="null3"/>
        <w:ind w:firstLine="480"/>
        <w:jc w:val="left"/>
      </w:pPr>
      <w:r>
        <w:rPr/>
        <w:t>二、招标文件明显以不合理条件对投标人实行差别待遇或者歧视待遇的；</w:t>
      </w:r>
    </w:p>
    <w:p>
      <w:pPr>
        <w:pStyle w:val="null3"/>
        <w:ind w:firstLine="480"/>
        <w:jc w:val="left"/>
      </w:pPr>
      <w:r>
        <w:rPr/>
        <w:t>三、采购项目属于国家规定的优先、强制采购范围，但是招标文件未依法体现优先、强制采购相关规定的；</w:t>
      </w:r>
    </w:p>
    <w:p>
      <w:pPr>
        <w:pStyle w:val="null3"/>
        <w:ind w:firstLine="480"/>
        <w:jc w:val="left"/>
      </w:pPr>
      <w:r>
        <w:rPr/>
        <w:t>四、采购项目属于政府采购促进中小企业发展的范围，但是招标文件未依法体现促进中小企业发展相关规定的；</w:t>
      </w:r>
    </w:p>
    <w:p>
      <w:pPr>
        <w:pStyle w:val="null3"/>
        <w:ind w:firstLine="480"/>
        <w:jc w:val="left"/>
      </w:pPr>
      <w:r>
        <w:rPr/>
        <w:t>五、招标文件规定的评标方法是综合评分法、最低评标价法之外的评标方法，或者虽然名称为综合评分法、最低评标价法，但实际上不符合国家规定；</w:t>
      </w:r>
    </w:p>
    <w:p>
      <w:pPr>
        <w:pStyle w:val="null3"/>
        <w:ind w:firstLine="480"/>
        <w:jc w:val="left"/>
      </w:pPr>
      <w:r>
        <w:rPr/>
        <w:t>六、招标文件将投标人的资格条件列为评分因素的；</w:t>
      </w:r>
    </w:p>
    <w:p>
      <w:pPr>
        <w:pStyle w:val="null3"/>
        <w:ind w:firstLine="480"/>
        <w:jc w:val="left"/>
      </w:pPr>
      <w:r>
        <w:rPr/>
        <w:t>七、招标文件有违反国家其他有关强制性规定的情形。</w:t>
      </w:r>
    </w:p>
    <w:p>
      <w:pPr>
        <w:pStyle w:val="null3"/>
        <w:ind w:firstLine="480"/>
        <w:jc w:val="left"/>
      </w:pPr>
      <w:r>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t>出现上述应当停止评标情形的，采购人、代理机构应当将停止评标的情形和具体原因通过交易系统告知参加采购活动的供应商，并在四川政府采购网公告。采购人、代理机构认为评标委员会不应当停止评标的，可以书面报告采购项目同级财政部门依法处理，并提供相关证明材料。</w:t>
      </w:r>
    </w:p>
    <w:p>
      <w:pPr>
        <w:pStyle w:val="null3"/>
        <w:jc w:val="left"/>
        <w:outlineLvl w:val="3"/>
      </w:pPr>
      <w:r>
        <w:rPr>
          <w:b/>
          <w:sz w:val="24"/>
        </w:rPr>
        <w:t>5.3.3.符合性审查★</w:t>
      </w:r>
    </w:p>
    <w:p>
      <w:pPr>
        <w:pStyle w:val="null3"/>
        <w:ind w:firstLine="480"/>
        <w:jc w:val="left"/>
      </w:pPr>
      <w:r>
        <w:rPr/>
        <w:t>评标委员会依据本招标文件的符合性审查要求，对符合资格要求投标人的投标文件进行符合性审查。</w:t>
      </w:r>
    </w:p>
    <w:p>
      <w:pPr>
        <w:pStyle w:val="null3"/>
        <w:ind w:firstLine="480"/>
        <w:jc w:val="left"/>
      </w:pPr>
      <w:r>
        <w:rPr/>
        <w:t>在符合性审查过程中，如果出现评标委员会成员意见不一致的情况，按照少数服从多数的原则确定，但不得违背政府采购基本原则和招标文件规定。</w:t>
      </w:r>
    </w:p>
    <w:p>
      <w:pPr>
        <w:pStyle w:val="null3"/>
        <w:ind w:firstLine="480"/>
        <w:jc w:val="left"/>
      </w:pPr>
      <w:r>
        <w:rPr/>
        <w:t>符合性审查标准见下表（按以下顺序审查）：</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无需投标人单独提供材料进行响应，只需投标人承诺严格遵守并执行的相关实质性要求。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报价</w:t>
            </w:r>
          </w:p>
        </w:tc>
        <w:tc>
          <w:tcPr>
            <w:tcW w:type="dxa" w:w="3322"/>
          </w:tcPr>
          <w:p>
            <w:pPr>
              <w:pStyle w:val="null3"/>
              <w:jc w:val="left"/>
            </w:pPr>
            <w:r>
              <w:rPr/>
              <w:t>投标人报价未超过招标文件规定的最高限价。</w:t>
            </w:r>
          </w:p>
        </w:tc>
        <w:tc>
          <w:tcPr>
            <w:tcW w:type="dxa" w:w="1910"/>
          </w:tcPr>
          <w:p>
            <w:pPr>
              <w:pStyle w:val="null3"/>
              <w:jc w:val="left"/>
            </w:pPr>
            <w:r>
              <w:rPr/>
              <w:t>报价一览表 报价明细表</w:t>
            </w:r>
          </w:p>
        </w:tc>
      </w:tr>
      <w:tr>
        <w:tc>
          <w:tcPr>
            <w:tcW w:type="dxa" w:w="581"/>
          </w:tcPr>
          <w:p>
            <w:pPr>
              <w:pStyle w:val="null3"/>
              <w:jc w:val="center"/>
            </w:pPr>
            <w:r>
              <w:rPr/>
              <w:t>3</w:t>
            </w:r>
          </w:p>
        </w:tc>
        <w:tc>
          <w:tcPr>
            <w:tcW w:type="dxa" w:w="2492"/>
          </w:tcPr>
          <w:p>
            <w:pPr>
              <w:pStyle w:val="null3"/>
              <w:jc w:val="left"/>
            </w:pPr>
            <w:r>
              <w:rPr/>
              <w:t>不正当竞争预防措施</w:t>
            </w:r>
          </w:p>
        </w:tc>
        <w:tc>
          <w:tcPr>
            <w:tcW w:type="dxa" w:w="3322"/>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t>报价一览表 报价明细表</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无需投标人单独提供材料进行响应，只需投标人承诺严格遵守并执行的相关实质性要求。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报价</w:t>
            </w:r>
          </w:p>
        </w:tc>
        <w:tc>
          <w:tcPr>
            <w:tcW w:type="dxa" w:w="3322"/>
          </w:tcPr>
          <w:p>
            <w:pPr>
              <w:pStyle w:val="null3"/>
              <w:jc w:val="left"/>
            </w:pPr>
            <w:r>
              <w:rPr/>
              <w:t>投标人报价未超过招标文件规定的最高限价。</w:t>
            </w:r>
          </w:p>
        </w:tc>
        <w:tc>
          <w:tcPr>
            <w:tcW w:type="dxa" w:w="1910"/>
          </w:tcPr>
          <w:p>
            <w:pPr>
              <w:pStyle w:val="null3"/>
              <w:jc w:val="left"/>
            </w:pPr>
            <w:r>
              <w:rPr/>
              <w:t>报价一览表 报价明细表</w:t>
            </w:r>
          </w:p>
        </w:tc>
      </w:tr>
      <w:tr>
        <w:tc>
          <w:tcPr>
            <w:tcW w:type="dxa" w:w="581"/>
          </w:tcPr>
          <w:p>
            <w:pPr>
              <w:pStyle w:val="null3"/>
              <w:jc w:val="center"/>
            </w:pPr>
            <w:r>
              <w:rPr/>
              <w:t>3</w:t>
            </w:r>
          </w:p>
        </w:tc>
        <w:tc>
          <w:tcPr>
            <w:tcW w:type="dxa" w:w="2492"/>
          </w:tcPr>
          <w:p>
            <w:pPr>
              <w:pStyle w:val="null3"/>
              <w:jc w:val="left"/>
            </w:pPr>
            <w:r>
              <w:rPr/>
              <w:t>不正当竞争预防措施</w:t>
            </w:r>
          </w:p>
        </w:tc>
        <w:tc>
          <w:tcPr>
            <w:tcW w:type="dxa" w:w="3322"/>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t>报价一览表 报价明细表</w:t>
            </w:r>
          </w:p>
        </w:tc>
      </w:tr>
    </w:tbl>
    <w:p>
      <w:pPr>
        <w:pStyle w:val="null3"/>
        <w:ind w:firstLine="480"/>
        <w:jc w:val="left"/>
      </w:pPr>
      <w:r>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b/>
          <w:sz w:val="24"/>
        </w:rPr>
        <w:t>5.3.4解释、澄清、说明有关问题</w:t>
      </w:r>
    </w:p>
    <w:p>
      <w:pPr>
        <w:pStyle w:val="null3"/>
        <w:ind w:firstLine="480"/>
        <w:jc w:val="left"/>
      </w:pPr>
      <w:r>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t>三、投标文件报价出现前后不一致的，除招标文件另有规定外，按照下列规定修正：</w:t>
      </w:r>
    </w:p>
    <w:p>
      <w:pPr>
        <w:pStyle w:val="null3"/>
        <w:ind w:firstLine="480"/>
        <w:jc w:val="left"/>
      </w:pPr>
      <w:r>
        <w:rPr/>
        <w:t>（一）投标文件中报价表内容与投标文件中相应内容不一致的，以报价表为准；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同时出现两种以上不一致的，按照前款规定的顺序修正。修正后的报价经投标人经交易系统加盖电子印章确认提交后生效产生约束力。</w:t>
      </w:r>
    </w:p>
    <w:p>
      <w:pPr>
        <w:pStyle w:val="null3"/>
        <w:ind w:firstLine="480"/>
        <w:jc w:val="left"/>
      </w:pPr>
      <w:r>
        <w:rPr/>
        <w:t>四、对不同语言文本投标文件的解释发生异议的，以中文文本为准。</w:t>
      </w:r>
    </w:p>
    <w:p>
      <w:pPr>
        <w:pStyle w:val="null3"/>
        <w:ind w:firstLine="480"/>
        <w:jc w:val="left"/>
      </w:pPr>
      <w:r>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b/>
          <w:sz w:val="24"/>
        </w:rPr>
        <w:t>5.3.5.比较与评价</w:t>
      </w:r>
    </w:p>
    <w:p>
      <w:pPr>
        <w:pStyle w:val="null3"/>
        <w:ind w:firstLine="480"/>
        <w:jc w:val="left"/>
      </w:pPr>
      <w:r>
        <w:rPr/>
        <w:t>评标委员会应当按照招标文件规定的评标细则及标准，对符合性审查合格的投标文件进行商务和技术评估，综合比较和评价。</w:t>
      </w:r>
    </w:p>
    <w:p>
      <w:pPr>
        <w:pStyle w:val="null3"/>
        <w:jc w:val="left"/>
        <w:outlineLvl w:val="3"/>
      </w:pPr>
      <w:r>
        <w:rPr>
          <w:b/>
          <w:sz w:val="24"/>
        </w:rPr>
        <w:t>5.3.6.评标委员会复核</w:t>
      </w:r>
    </w:p>
    <w:p>
      <w:pPr>
        <w:pStyle w:val="null3"/>
        <w:ind w:firstLine="480"/>
        <w:jc w:val="left"/>
      </w:pPr>
      <w:r>
        <w:rPr/>
        <w:t>评分汇总结束后，评标委员会应当进行复核，对拟推荐为中标候选人的、报价最低的、投标文件被认定为无效的进行重点复核。</w:t>
      </w:r>
    </w:p>
    <w:p>
      <w:pPr>
        <w:pStyle w:val="null3"/>
        <w:jc w:val="left"/>
        <w:outlineLvl w:val="3"/>
      </w:pPr>
      <w:r>
        <w:rPr>
          <w:b/>
          <w:sz w:val="24"/>
        </w:rPr>
        <w:t>5.3.7.代理机构现场复核评审结果</w:t>
      </w:r>
    </w:p>
    <w:p>
      <w:pPr>
        <w:pStyle w:val="null3"/>
        <w:ind w:firstLine="480"/>
        <w:jc w:val="left"/>
      </w:pPr>
      <w:r>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t>（一）资格审查认定错误的；</w:t>
      </w:r>
    </w:p>
    <w:p>
      <w:pPr>
        <w:pStyle w:val="null3"/>
        <w:ind w:firstLine="480"/>
        <w:jc w:val="left"/>
      </w:pPr>
      <w:r>
        <w:rPr/>
        <w:t>（二）分值汇总计算错误的；</w:t>
      </w:r>
    </w:p>
    <w:p>
      <w:pPr>
        <w:pStyle w:val="null3"/>
        <w:ind w:firstLine="480"/>
        <w:jc w:val="left"/>
      </w:pPr>
      <w:r>
        <w:rPr/>
        <w:t>（三）分项评分超出评分标准范围的；</w:t>
      </w:r>
    </w:p>
    <w:p>
      <w:pPr>
        <w:pStyle w:val="null3"/>
        <w:ind w:firstLine="480"/>
        <w:jc w:val="left"/>
      </w:pPr>
      <w:r>
        <w:rPr/>
        <w:t>（四）客观评分不一致的。</w:t>
      </w:r>
    </w:p>
    <w:p>
      <w:pPr>
        <w:pStyle w:val="null3"/>
        <w:ind w:firstLine="480"/>
        <w:jc w:val="left"/>
      </w:pPr>
      <w:r>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t>三、代理机构复核过程中，评标委员会成员不得离开评审现场。</w:t>
      </w:r>
    </w:p>
    <w:p>
      <w:pPr>
        <w:pStyle w:val="null3"/>
        <w:ind w:firstLine="480"/>
        <w:jc w:val="left"/>
      </w:pPr>
      <w:r>
        <w:rPr/>
        <w:t>四、除资格审查认定错误、分值汇总计算错误、分项评分超出评分标准范围、评标委员会成员对客观评审因素评分不一致的、经评标委员会一致认定评分畸高、畸低的情形外，采购人或者代理机构不得以任何理由组织重新评审。代理机构发现评标委员会未按照招标文件规定的评审标准进行评审的，应当重新开展采购活动，并同时书面报告项目同级财政部门。</w:t>
      </w:r>
    </w:p>
    <w:p>
      <w:pPr>
        <w:pStyle w:val="null3"/>
        <w:jc w:val="left"/>
        <w:outlineLvl w:val="3"/>
      </w:pPr>
      <w:r>
        <w:rPr>
          <w:b/>
          <w:sz w:val="24"/>
        </w:rPr>
        <w:t>5.3.8.确定中标候选人名单</w:t>
      </w:r>
    </w:p>
    <w:p>
      <w:pPr>
        <w:pStyle w:val="null3"/>
        <w:jc w:val="left"/>
      </w:pPr>
      <w:r>
        <w:rPr/>
        <w:t>采购包1：</w:t>
      </w:r>
      <w:r>
        <w:rPr/>
        <w:t>确定3名中标候选人。</w:t>
      </w:r>
    </w:p>
    <w:p>
      <w:pPr>
        <w:pStyle w:val="null3"/>
        <w:jc w:val="left"/>
      </w:pPr>
      <w:r>
        <w:rPr/>
        <w:t>采购包2：</w:t>
      </w:r>
      <w:r>
        <w:rPr/>
        <w:t>确定3名中标候选人。</w:t>
      </w:r>
    </w:p>
    <w:p>
      <w:pPr>
        <w:pStyle w:val="null3"/>
        <w:ind w:firstLine="480"/>
        <w:jc w:val="left"/>
      </w:pPr>
      <w:r>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1名投标人参加评标，其他投标无效。</w:t>
      </w:r>
    </w:p>
    <w:p>
      <w:pPr>
        <w:pStyle w:val="null3"/>
        <w:jc w:val="left"/>
        <w:outlineLvl w:val="3"/>
      </w:pPr>
      <w:r>
        <w:rPr>
          <w:b/>
          <w:sz w:val="24"/>
        </w:rPr>
        <w:t>5.3.9.出具评标报告</w:t>
      </w:r>
    </w:p>
    <w:p>
      <w:pPr>
        <w:pStyle w:val="null3"/>
        <w:ind w:firstLine="480"/>
        <w:jc w:val="left"/>
      </w:pPr>
      <w:r>
        <w:rPr/>
        <w:t>评标报告是评标委员会根据全体评标成员签署的评标记录和评标结果编写的报告，其主要内容包括：</w:t>
      </w:r>
    </w:p>
    <w:p>
      <w:pPr>
        <w:pStyle w:val="null3"/>
        <w:ind w:firstLine="480"/>
        <w:jc w:val="left"/>
      </w:pPr>
      <w:r>
        <w:rPr/>
        <w:t>一、招标公告刊登的媒体名称、开标日期和地点；</w:t>
      </w:r>
    </w:p>
    <w:p>
      <w:pPr>
        <w:pStyle w:val="null3"/>
        <w:ind w:firstLine="480"/>
        <w:jc w:val="left"/>
      </w:pPr>
      <w:r>
        <w:rPr/>
        <w:t>二、投标人名单和评标委员会成员名单；</w:t>
      </w:r>
    </w:p>
    <w:p>
      <w:pPr>
        <w:pStyle w:val="null3"/>
        <w:ind w:firstLine="480"/>
        <w:jc w:val="left"/>
      </w:pPr>
      <w:r>
        <w:rPr/>
        <w:t>三、评标方法和标准；</w:t>
      </w:r>
    </w:p>
    <w:p>
      <w:pPr>
        <w:pStyle w:val="null3"/>
        <w:ind w:firstLine="480"/>
        <w:jc w:val="left"/>
      </w:pPr>
      <w:r>
        <w:rPr/>
        <w:t>四、开标记录和评标情况及说明，包括投标无效投标人名单及原因；</w:t>
      </w:r>
    </w:p>
    <w:p>
      <w:pPr>
        <w:pStyle w:val="null3"/>
        <w:ind w:firstLine="480"/>
        <w:jc w:val="left"/>
      </w:pPr>
      <w:r>
        <w:rPr/>
        <w:t>五、评标结果，确定的中标候选人名单或者经采购人委托直接确定的中标人</w:t>
      </w:r>
    </w:p>
    <w:p>
      <w:pPr>
        <w:pStyle w:val="null3"/>
        <w:ind w:firstLine="480"/>
        <w:jc w:val="left"/>
      </w:pPr>
      <w:r>
        <w:rPr/>
        <w:t>六、其他需要说明的情况，包括评标过程中投标人根据评标委员会要求进行的澄清、说明或者补正，评标委员会成员的更换等；</w:t>
      </w:r>
    </w:p>
    <w:p>
      <w:pPr>
        <w:pStyle w:val="null3"/>
        <w:ind w:firstLine="480"/>
        <w:jc w:val="left"/>
      </w:pPr>
      <w:r>
        <w:rPr/>
        <w:t>七、报价最高的投标人为中标候选人的，评标委员会应当对其报价的合理性予以特别说明。</w:t>
      </w:r>
    </w:p>
    <w:p>
      <w:pPr>
        <w:pStyle w:val="null3"/>
        <w:ind w:firstLine="480"/>
        <w:jc w:val="left"/>
      </w:pPr>
      <w:r>
        <w:rPr/>
        <w:t>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jc w:val="left"/>
        <w:outlineLvl w:val="3"/>
      </w:pPr>
      <w:r>
        <w:rPr>
          <w:b/>
          <w:sz w:val="24"/>
        </w:rPr>
        <w:t>5.3.10.评标争议处理规则</w:t>
      </w:r>
    </w:p>
    <w:p>
      <w:pPr>
        <w:pStyle w:val="null3"/>
        <w:ind w:firstLine="480"/>
        <w:jc w:val="left"/>
      </w:pPr>
      <w:r>
        <w:rPr/>
        <w:t>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b/>
          <w:sz w:val="28"/>
        </w:rPr>
        <w:t>5.4.评标方法、细则及标准</w:t>
      </w:r>
    </w:p>
    <w:p>
      <w:pPr>
        <w:pStyle w:val="null3"/>
        <w:ind w:firstLine="480"/>
        <w:jc w:val="left"/>
      </w:pPr>
      <w:r>
        <w:rPr/>
        <w:t>评标委员会应当按照客观、公正、审慎的原则，根据招标文件规定的评标程序、评标方法和评标标准进行独立评审。</w:t>
      </w:r>
    </w:p>
    <w:p>
      <w:pPr>
        <w:pStyle w:val="null3"/>
        <w:jc w:val="left"/>
        <w:outlineLvl w:val="3"/>
      </w:pPr>
      <w:r>
        <w:rPr>
          <w:b/>
          <w:sz w:val="24"/>
        </w:rPr>
        <w:t>5.4.1.评分办法</w:t>
      </w:r>
    </w:p>
    <w:p>
      <w:pPr>
        <w:pStyle w:val="null3"/>
        <w:ind w:firstLine="480"/>
        <w:jc w:val="left"/>
      </w:pPr>
      <w:r>
        <w:rPr/>
        <w:t>（一）若采用综合评分法的，由评标委员会各成员对通过资格审查和符合性审查的投标人的投标文件进行独立评标。</w:t>
      </w:r>
    </w:p>
    <w:p>
      <w:pPr>
        <w:pStyle w:val="null3"/>
        <w:ind w:firstLine="960"/>
        <w:jc w:val="left"/>
      </w:pPr>
      <w:r>
        <w:rPr/>
        <w:t>投标报价得分=(评标基准价／投标报价)×100</w:t>
      </w:r>
    </w:p>
    <w:p>
      <w:pPr>
        <w:pStyle w:val="null3"/>
        <w:ind w:firstLine="960"/>
        <w:jc w:val="left"/>
      </w:pPr>
      <w:r>
        <w:rPr/>
        <w:t>评标总得分＝F1×A1＋F2×A2＋……＋Fn×An</w:t>
      </w:r>
    </w:p>
    <w:p>
      <w:pPr>
        <w:pStyle w:val="null3"/>
        <w:ind w:firstLine="960"/>
        <w:jc w:val="left"/>
      </w:pPr>
      <w:r>
        <w:rPr/>
        <w:t>F1、F2……Fn分别为各项评审因素的得分；</w:t>
      </w:r>
    </w:p>
    <w:p>
      <w:pPr>
        <w:pStyle w:val="null3"/>
        <w:ind w:firstLine="960"/>
        <w:jc w:val="left"/>
      </w:pPr>
      <w:r>
        <w:rPr/>
        <w:t>A1、A2、……An 分别为各项评审因素所占的权重（A1＋A2＋……＋An＝1）。</w:t>
      </w:r>
    </w:p>
    <w:p>
      <w:pPr>
        <w:pStyle w:val="null3"/>
        <w:ind w:firstLine="480"/>
        <w:jc w:val="left"/>
      </w:pPr>
      <w:r>
        <w:rPr/>
        <w:t>评标过程中，不得去掉报价中的最高报价和最低报价。</w:t>
      </w:r>
    </w:p>
    <w:p>
      <w:pPr>
        <w:pStyle w:val="null3"/>
        <w:ind w:firstLine="480"/>
        <w:jc w:val="left"/>
      </w:pPr>
      <w:r>
        <w:rPr/>
        <w:t>说明：</w:t>
      </w:r>
    </w:p>
    <w:p>
      <w:pPr>
        <w:pStyle w:val="null3"/>
        <w:ind w:firstLine="480"/>
        <w:jc w:val="left"/>
      </w:pPr>
      <w:r>
        <w:rPr/>
        <w:t>1.评分的取值按四舍五入法，保留小数点后两位；</w:t>
      </w:r>
    </w:p>
    <w:p>
      <w:pPr>
        <w:pStyle w:val="null3"/>
        <w:ind w:firstLine="480"/>
        <w:jc w:val="left"/>
      </w:pPr>
      <w:r>
        <w:rPr/>
        <w:t>2.评分标准中要求提供的证明材料须清晰可辨。</w:t>
      </w:r>
    </w:p>
    <w:p>
      <w:pPr>
        <w:pStyle w:val="null3"/>
        <w:ind w:firstLine="480"/>
        <w:jc w:val="left"/>
      </w:pPr>
      <w:r>
        <w:rPr/>
        <w:t>因落实政府采购政策进行价格调整的，以调整后的价格计算评标基准价和投标报价。</w:t>
      </w:r>
    </w:p>
    <w:p>
      <w:pPr>
        <w:pStyle w:val="null3"/>
        <w:ind w:firstLine="480"/>
        <w:jc w:val="left"/>
      </w:pPr>
      <w:r>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b/>
          <w:sz w:val="24"/>
        </w:rPr>
        <w:t>5.4.2.评标细则及标准</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详细评审70.00分</w:t>
            </w:r>
          </w:p>
          <w:p>
            <w:pPr>
              <w:pStyle w:val="null3"/>
              <w:jc w:val="left"/>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评标分值</w:t>
            </w:r>
          </w:p>
        </w:tc>
        <w:tc>
          <w:tcPr>
            <w:tcW w:type="dxa" w:w="748"/>
          </w:tcPr>
          <w:p>
            <w:pPr>
              <w:pStyle w:val="null3"/>
              <w:jc w:val="center"/>
            </w:pPr>
            <w:r>
              <w:rPr/>
              <w:t xml:space="preserve"> 客观/主观</w:t>
            </w:r>
          </w:p>
        </w:tc>
        <w:tc>
          <w:tcPr>
            <w:tcW w:type="dxa" w:w="1661"/>
          </w:tcPr>
          <w:p>
            <w:pPr>
              <w:pStyle w:val="null3"/>
              <w:jc w:val="center"/>
            </w:pPr>
            <w:r>
              <w:rPr>
                <w:b/>
              </w:rPr>
              <w:t xml:space="preserve"> 关联投标文件格式文本</w:t>
            </w:r>
          </w:p>
        </w:tc>
      </w:tr>
      <w:tr>
        <w:tc>
          <w:tcPr>
            <w:tcW w:type="dxa" w:w="831"/>
            <w:vMerge w:val="restart"/>
          </w:tcPr>
          <w:p>
            <w:pPr>
              <w:pStyle w:val="null3"/>
              <w:jc w:val="left"/>
            </w:pPr>
            <w:r>
              <w:rPr/>
              <w:t>详细评审</w:t>
            </w:r>
          </w:p>
        </w:tc>
        <w:tc>
          <w:tcPr>
            <w:tcW w:type="dxa" w:w="1661"/>
          </w:tcPr>
          <w:p>
            <w:pPr>
              <w:pStyle w:val="null3"/>
              <w:jc w:val="left"/>
            </w:pPr>
            <w:r>
              <w:rPr/>
              <w:t>技术参数</w:t>
            </w:r>
          </w:p>
        </w:tc>
        <w:tc>
          <w:tcPr>
            <w:tcW w:type="dxa" w:w="2575"/>
          </w:tcPr>
          <w:p>
            <w:pPr>
              <w:pStyle w:val="null3"/>
              <w:jc w:val="left"/>
            </w:pPr>
            <w:r>
              <w:rPr/>
              <w:t>完全满足招标文件技术参数要求的得40分，其中： “▲”技术要求部分得分=（条款总数-负偏离条数）/条款总数*30。 非“▲”、非“★”的一般技术要求部分得分=（条款总数-负偏离条数）/条款总数*10。 “▲”的技术参数提供产品彩页或官网截图或技术证明文件进行佐证，未提供或不满足的不得分。</w:t>
            </w:r>
          </w:p>
        </w:tc>
        <w:tc>
          <w:tcPr>
            <w:tcW w:type="dxa" w:w="831"/>
          </w:tcPr>
          <w:p>
            <w:pPr>
              <w:pStyle w:val="null3"/>
              <w:jc w:val="center"/>
            </w:pPr>
            <w:r>
              <w:rPr/>
              <w:t>40.00</w:t>
            </w:r>
          </w:p>
        </w:tc>
        <w:tc>
          <w:tcPr>
            <w:tcW w:type="dxa" w:w="748"/>
          </w:tcPr>
          <w:p>
            <w:pPr>
              <w:pStyle w:val="null3"/>
              <w:jc w:val="center"/>
            </w:pPr>
            <w:r>
              <w:rPr/>
              <w:t>客观</w:t>
            </w:r>
          </w:p>
        </w:tc>
        <w:tc>
          <w:tcPr>
            <w:tcW w:type="dxa" w:w="1661"/>
          </w:tcPr>
          <w:p>
            <w:pPr>
              <w:pStyle w:val="null3"/>
              <w:jc w:val="left"/>
            </w:pPr>
            <w:r>
              <w:rPr/>
              <w:t>产品技术参数响应表</w:t>
            </w:r>
          </w:p>
          <w:p>
            <w:pPr>
              <w:pStyle w:val="null3"/>
              <w:jc w:val="left"/>
            </w:pPr>
            <w:r>
              <w:rPr/>
              <w:t>商务应答表</w:t>
            </w:r>
          </w:p>
          <w:p>
            <w:pPr>
              <w:pStyle w:val="null3"/>
              <w:jc w:val="left"/>
            </w:pPr>
            <w:r>
              <w:rPr/>
              <w:t>资质及其他相关证明材料</w:t>
            </w:r>
          </w:p>
        </w:tc>
      </w:tr>
      <w:tr>
        <w:tc>
          <w:tcPr>
            <w:tcW w:type="dxa" w:w="831"/>
            <w:vMerge/>
          </w:tcPr>
          <w:p/>
        </w:tc>
        <w:tc>
          <w:tcPr>
            <w:tcW w:type="dxa" w:w="1661"/>
          </w:tcPr>
          <w:p>
            <w:pPr>
              <w:pStyle w:val="null3"/>
              <w:jc w:val="left"/>
            </w:pPr>
            <w:r>
              <w:rPr/>
              <w:t>业绩</w:t>
            </w:r>
          </w:p>
        </w:tc>
        <w:tc>
          <w:tcPr>
            <w:tcW w:type="dxa" w:w="2575"/>
          </w:tcPr>
          <w:p>
            <w:pPr>
              <w:pStyle w:val="null3"/>
              <w:jc w:val="left"/>
            </w:pPr>
            <w:r>
              <w:rPr/>
              <w:t>投标人提供2021年1月1日以来的类似项目业绩（含同类产品），每提供一份得2.5分，本项满分5分。 注：提供项目采购合同和中标/成交通知书，加盖投标人公章。未提供或提供不全不得分。</w:t>
            </w:r>
          </w:p>
        </w:tc>
        <w:tc>
          <w:tcPr>
            <w:tcW w:type="dxa" w:w="831"/>
          </w:tcPr>
          <w:p>
            <w:pPr>
              <w:pStyle w:val="null3"/>
              <w:jc w:val="center"/>
            </w:pPr>
            <w:r>
              <w:rPr/>
              <w:t>5.00</w:t>
            </w:r>
          </w:p>
        </w:tc>
        <w:tc>
          <w:tcPr>
            <w:tcW w:type="dxa" w:w="748"/>
          </w:tcPr>
          <w:p>
            <w:pPr>
              <w:pStyle w:val="null3"/>
              <w:jc w:val="center"/>
            </w:pPr>
            <w:r>
              <w:rPr/>
              <w:t>客观</w:t>
            </w:r>
          </w:p>
        </w:tc>
        <w:tc>
          <w:tcPr>
            <w:tcW w:type="dxa" w:w="1661"/>
          </w:tcPr>
          <w:p>
            <w:pPr>
              <w:pStyle w:val="null3"/>
              <w:jc w:val="left"/>
            </w:pPr>
            <w:r>
              <w:rPr/>
              <w:t>投标人类似业绩一览表</w:t>
            </w:r>
          </w:p>
          <w:p>
            <w:pPr>
              <w:pStyle w:val="null3"/>
              <w:jc w:val="left"/>
            </w:pPr>
            <w:r>
              <w:rPr/>
              <w:t>资质及其他相关证明材料</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根据投标人提供的项目实施方案（包括①产品质量控制方案；②备货、运输、安装、调试方案；③项目实施进度计划及保障；④针对突发问题的应急）进行评审：完全满足要求的得16分。每缺少一项扣4分；每项内容里存在瑕疵的，出现一处扣2分，每项最多扣4分，扣完为止。 瑕疵是指：①内容脱离项目背景、项目需求以及行业或市场的客观实际，或涉及的政策规范及标准错误；②技术及实施操作不符合行业规范；③套用其它项目方案；④内容前后矛盾、存在歧义或逻辑错误；⑤仅有理论或概述，没有具体的操作措施和方法；⑥不满足项目采购要求，达不到项目服务标准。</w:t>
            </w:r>
          </w:p>
        </w:tc>
        <w:tc>
          <w:tcPr>
            <w:tcW w:type="dxa" w:w="831"/>
          </w:tcPr>
          <w:p>
            <w:pPr>
              <w:pStyle w:val="null3"/>
              <w:jc w:val="center"/>
            </w:pPr>
            <w:r>
              <w:rPr/>
              <w:t>16.00</w:t>
            </w:r>
          </w:p>
        </w:tc>
        <w:tc>
          <w:tcPr>
            <w:tcW w:type="dxa" w:w="748"/>
          </w:tcPr>
          <w:p>
            <w:pPr>
              <w:pStyle w:val="null3"/>
              <w:jc w:val="center"/>
            </w:pPr>
            <w:r>
              <w:rPr/>
              <w:t>主观</w:t>
            </w:r>
          </w:p>
        </w:tc>
        <w:tc>
          <w:tcPr>
            <w:tcW w:type="dxa" w:w="1661"/>
          </w:tcPr>
          <w:p>
            <w:pPr>
              <w:pStyle w:val="null3"/>
              <w:jc w:val="left"/>
            </w:pPr>
            <w:r>
              <w:rPr/>
              <w:t>实施（服务）方案</w:t>
            </w:r>
          </w:p>
        </w:tc>
      </w:tr>
      <w:tr>
        <w:tc>
          <w:tcPr>
            <w:tcW w:type="dxa" w:w="831"/>
            <w:vMerge/>
          </w:tcPr>
          <w:p/>
        </w:tc>
        <w:tc>
          <w:tcPr>
            <w:tcW w:type="dxa" w:w="1661"/>
          </w:tcPr>
          <w:p>
            <w:pPr>
              <w:pStyle w:val="null3"/>
              <w:jc w:val="left"/>
            </w:pPr>
            <w:r>
              <w:rPr/>
              <w:t>售后服务方案</w:t>
            </w:r>
          </w:p>
        </w:tc>
        <w:tc>
          <w:tcPr>
            <w:tcW w:type="dxa" w:w="2575"/>
          </w:tcPr>
          <w:p>
            <w:pPr>
              <w:pStyle w:val="null3"/>
              <w:jc w:val="left"/>
            </w:pPr>
            <w:r>
              <w:rPr/>
              <w:t>根据投标人提供的售后服务方案（至少包括①售后服务管理制度及流程；②售后服务保障团队及人员分工；③售后服务质量保障、巡检、客户建档措施）进行评审：完全满足要求的得9分。每缺少一项扣3分；每项内容里存在瑕疵的，出现一处扣1.5分，每项最多扣3分，扣完为止。 瑕疵是指：①内容脱离项目背景、项目需求以及行业或市场的客观实际，或涉及的政策规范及标准错误；②技术及实施操作不符合行业规范；③套用其它项目方案；④内容前后矛盾、存在歧义或逻辑错误；⑤仅有理论或概述，没有具体的操作措施和方法；⑥不满足项目采购要求，达不到项目服务标准。</w:t>
            </w:r>
          </w:p>
        </w:tc>
        <w:tc>
          <w:tcPr>
            <w:tcW w:type="dxa" w:w="831"/>
          </w:tcPr>
          <w:p>
            <w:pPr>
              <w:pStyle w:val="null3"/>
              <w:jc w:val="center"/>
            </w:pPr>
            <w:r>
              <w:rPr/>
              <w:t>9.00</w:t>
            </w:r>
          </w:p>
        </w:tc>
        <w:tc>
          <w:tcPr>
            <w:tcW w:type="dxa" w:w="748"/>
          </w:tcPr>
          <w:p>
            <w:pPr>
              <w:pStyle w:val="null3"/>
              <w:jc w:val="center"/>
            </w:pPr>
            <w:r>
              <w:rPr/>
              <w:t>主观</w:t>
            </w:r>
          </w:p>
        </w:tc>
        <w:tc>
          <w:tcPr>
            <w:tcW w:type="dxa" w:w="1661"/>
          </w:tcPr>
          <w:p>
            <w:pPr>
              <w:pStyle w:val="null3"/>
              <w:jc w:val="left"/>
            </w:pPr>
            <w:r>
              <w:rPr/>
              <w:t>管理、技术、服务人员情况表</w:t>
            </w:r>
          </w:p>
          <w:p>
            <w:pPr>
              <w:pStyle w:val="null3"/>
              <w:jc w:val="left"/>
            </w:pPr>
            <w:r>
              <w:rPr/>
              <w:t>实施（服务）方案</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1、评审价格=投标报价。2、经价格调整后的评审价格=投标报价×（1-价格调整比例）3、基准价=经价格调整后评审价格的最低值。1. 经评标委员会评审，通过资格和符合性审查，且投标报价最低的投标人的投标报价作为评标基准价。2.投标报价得分=(评标基准价／投标报价)×分值。</w:t>
            </w:r>
          </w:p>
        </w:tc>
        <w:tc>
          <w:tcPr>
            <w:tcW w:type="dxa" w:w="831"/>
          </w:tcPr>
          <w:p>
            <w:pPr>
              <w:pStyle w:val="null3"/>
              <w:jc w:val="center"/>
            </w:pPr>
            <w:r>
              <w:rPr/>
              <w:t>30.00</w:t>
            </w:r>
          </w:p>
        </w:tc>
        <w:tc>
          <w:tcPr>
            <w:tcW w:type="dxa" w:w="748"/>
          </w:tcPr>
          <w:p>
            <w:pPr>
              <w:pStyle w:val="null3"/>
              <w:jc w:val="center"/>
            </w:pPr>
            <w:r>
              <w:rPr/>
              <w:t>客观</w:t>
            </w:r>
          </w:p>
        </w:tc>
        <w:tc>
          <w:tcPr>
            <w:tcW w:type="dxa" w:w="1661"/>
          </w:tcPr>
          <w:p>
            <w:pPr>
              <w:pStyle w:val="null3"/>
              <w:jc w:val="left"/>
            </w:pPr>
            <w:r>
              <w:rPr/>
              <w:t>报价明细表</w:t>
            </w:r>
          </w:p>
          <w:p>
            <w:pPr>
              <w:pStyle w:val="null3"/>
              <w:jc w:val="left"/>
            </w:pPr>
            <w:r>
              <w:rPr/>
              <w:t>报价一览表</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详细评审70.00分</w:t>
            </w:r>
          </w:p>
          <w:p>
            <w:pPr>
              <w:pStyle w:val="null3"/>
              <w:jc w:val="left"/>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评标分值</w:t>
            </w:r>
          </w:p>
        </w:tc>
        <w:tc>
          <w:tcPr>
            <w:tcW w:type="dxa" w:w="748"/>
          </w:tcPr>
          <w:p>
            <w:pPr>
              <w:pStyle w:val="null3"/>
              <w:jc w:val="center"/>
            </w:pPr>
            <w:r>
              <w:rPr/>
              <w:t xml:space="preserve"> 客观/主观</w:t>
            </w:r>
          </w:p>
        </w:tc>
        <w:tc>
          <w:tcPr>
            <w:tcW w:type="dxa" w:w="1661"/>
          </w:tcPr>
          <w:p>
            <w:pPr>
              <w:pStyle w:val="null3"/>
              <w:jc w:val="center"/>
            </w:pPr>
            <w:r>
              <w:rPr>
                <w:b/>
              </w:rPr>
              <w:t xml:space="preserve"> 关联投标文件格式文本</w:t>
            </w:r>
          </w:p>
        </w:tc>
      </w:tr>
      <w:tr>
        <w:tc>
          <w:tcPr>
            <w:tcW w:type="dxa" w:w="831"/>
            <w:vMerge w:val="restart"/>
          </w:tcPr>
          <w:p>
            <w:pPr>
              <w:pStyle w:val="null3"/>
              <w:jc w:val="left"/>
            </w:pPr>
            <w:r>
              <w:rPr/>
              <w:t>详细评审</w:t>
            </w:r>
          </w:p>
        </w:tc>
        <w:tc>
          <w:tcPr>
            <w:tcW w:type="dxa" w:w="1661"/>
          </w:tcPr>
          <w:p>
            <w:pPr>
              <w:pStyle w:val="null3"/>
              <w:jc w:val="left"/>
            </w:pPr>
            <w:r>
              <w:rPr/>
              <w:t>技术参数</w:t>
            </w:r>
          </w:p>
        </w:tc>
        <w:tc>
          <w:tcPr>
            <w:tcW w:type="dxa" w:w="2575"/>
          </w:tcPr>
          <w:p>
            <w:pPr>
              <w:pStyle w:val="null3"/>
              <w:jc w:val="left"/>
            </w:pPr>
            <w:r>
              <w:rPr/>
              <w:t>完全满足招标文件技术参数要求的得40分，其中： “▲”技术要求部分得分=（条款总数-负偏离条数）/条款总数*30。 非“▲”、非“★”的一般技术要求部分得分=（条款总数-负偏离条数）/条款总数*10。 注:带“▲”的技术参数提供产品彩页或官网截图或技术证明文件进行佐证，未提供或不满足的不得分。</w:t>
            </w:r>
          </w:p>
        </w:tc>
        <w:tc>
          <w:tcPr>
            <w:tcW w:type="dxa" w:w="831"/>
          </w:tcPr>
          <w:p>
            <w:pPr>
              <w:pStyle w:val="null3"/>
              <w:jc w:val="center"/>
            </w:pPr>
            <w:r>
              <w:rPr/>
              <w:t>40.00</w:t>
            </w:r>
          </w:p>
        </w:tc>
        <w:tc>
          <w:tcPr>
            <w:tcW w:type="dxa" w:w="748"/>
          </w:tcPr>
          <w:p>
            <w:pPr>
              <w:pStyle w:val="null3"/>
              <w:jc w:val="center"/>
            </w:pPr>
            <w:r>
              <w:rPr/>
              <w:t>客观</w:t>
            </w:r>
          </w:p>
        </w:tc>
        <w:tc>
          <w:tcPr>
            <w:tcW w:type="dxa" w:w="1661"/>
          </w:tcPr>
          <w:p>
            <w:pPr>
              <w:pStyle w:val="null3"/>
              <w:jc w:val="left"/>
            </w:pPr>
            <w:r>
              <w:rPr/>
              <w:t>产品技术参数响应表</w:t>
            </w:r>
          </w:p>
          <w:p>
            <w:pPr>
              <w:pStyle w:val="null3"/>
              <w:jc w:val="left"/>
            </w:pPr>
            <w:r>
              <w:rPr/>
              <w:t>商务应答表</w:t>
            </w:r>
          </w:p>
          <w:p>
            <w:pPr>
              <w:pStyle w:val="null3"/>
              <w:jc w:val="left"/>
            </w:pPr>
            <w:r>
              <w:rPr/>
              <w:t>资质及其他相关证明材料</w:t>
            </w:r>
          </w:p>
        </w:tc>
      </w:tr>
      <w:tr>
        <w:tc>
          <w:tcPr>
            <w:tcW w:type="dxa" w:w="831"/>
            <w:vMerge/>
          </w:tcPr>
          <w:p/>
        </w:tc>
        <w:tc>
          <w:tcPr>
            <w:tcW w:type="dxa" w:w="1661"/>
          </w:tcPr>
          <w:p>
            <w:pPr>
              <w:pStyle w:val="null3"/>
              <w:jc w:val="left"/>
            </w:pPr>
            <w:r>
              <w:rPr/>
              <w:t>业绩</w:t>
            </w:r>
          </w:p>
        </w:tc>
        <w:tc>
          <w:tcPr>
            <w:tcW w:type="dxa" w:w="2575"/>
          </w:tcPr>
          <w:p>
            <w:pPr>
              <w:pStyle w:val="null3"/>
              <w:jc w:val="left"/>
            </w:pPr>
            <w:r>
              <w:rPr/>
              <w:t>投标人提供2021年1月1日以来的类似项目业绩（含同类产品），每提供一份得2.5分，本项满分5分。 注：提供项目采购合同和中标/成交通知书，加盖投标人公章。未提供或提供不全不得分。</w:t>
            </w:r>
          </w:p>
        </w:tc>
        <w:tc>
          <w:tcPr>
            <w:tcW w:type="dxa" w:w="831"/>
          </w:tcPr>
          <w:p>
            <w:pPr>
              <w:pStyle w:val="null3"/>
              <w:jc w:val="center"/>
            </w:pPr>
            <w:r>
              <w:rPr/>
              <w:t>5.00</w:t>
            </w:r>
          </w:p>
        </w:tc>
        <w:tc>
          <w:tcPr>
            <w:tcW w:type="dxa" w:w="748"/>
          </w:tcPr>
          <w:p>
            <w:pPr>
              <w:pStyle w:val="null3"/>
              <w:jc w:val="center"/>
            </w:pPr>
            <w:r>
              <w:rPr/>
              <w:t>客观</w:t>
            </w:r>
          </w:p>
        </w:tc>
        <w:tc>
          <w:tcPr>
            <w:tcW w:type="dxa" w:w="1661"/>
          </w:tcPr>
          <w:p>
            <w:pPr>
              <w:pStyle w:val="null3"/>
              <w:jc w:val="left"/>
            </w:pPr>
            <w:r>
              <w:rPr/>
              <w:t>投标人类似业绩一览表</w:t>
            </w:r>
          </w:p>
          <w:p>
            <w:pPr>
              <w:pStyle w:val="null3"/>
              <w:jc w:val="left"/>
            </w:pPr>
            <w:r>
              <w:rPr/>
              <w:t>资质及其他相关证明材料</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根据投标人提供的项目实施方案（包括①产品质量控制方案；②备货、运输、安装、调试方案；③项目实施进度计划及保障；④针对突发问题的应急）进行评审：完全满足要求的得16分。每缺少一项扣4分；每项内容里存在瑕疵的，出现一处扣2分，每项最多扣4分，扣完为止。 瑕疵是指：①内容脱离项目背景、项目需求以及行业或市场的客观实际，或涉及的政策规范及标准错误；②技术及实施操作不符合行业规范；③套用其它项目方案；④内容前后矛盾、存在歧义或逻辑错误；⑤仅有理论或概述，没有具体的操作措施和方法；⑥不满足项目采购要求，达不到项目服务标准。</w:t>
            </w:r>
          </w:p>
        </w:tc>
        <w:tc>
          <w:tcPr>
            <w:tcW w:type="dxa" w:w="831"/>
          </w:tcPr>
          <w:p>
            <w:pPr>
              <w:pStyle w:val="null3"/>
              <w:jc w:val="center"/>
            </w:pPr>
            <w:r>
              <w:rPr/>
              <w:t>16.00</w:t>
            </w:r>
          </w:p>
        </w:tc>
        <w:tc>
          <w:tcPr>
            <w:tcW w:type="dxa" w:w="748"/>
          </w:tcPr>
          <w:p>
            <w:pPr>
              <w:pStyle w:val="null3"/>
              <w:jc w:val="center"/>
            </w:pPr>
            <w:r>
              <w:rPr/>
              <w:t>主观</w:t>
            </w:r>
          </w:p>
        </w:tc>
        <w:tc>
          <w:tcPr>
            <w:tcW w:type="dxa" w:w="1661"/>
          </w:tcPr>
          <w:p>
            <w:pPr>
              <w:pStyle w:val="null3"/>
              <w:jc w:val="left"/>
            </w:pPr>
            <w:r>
              <w:rPr/>
              <w:t>实施（服务）方案</w:t>
            </w:r>
          </w:p>
        </w:tc>
      </w:tr>
      <w:tr>
        <w:tc>
          <w:tcPr>
            <w:tcW w:type="dxa" w:w="831"/>
            <w:vMerge/>
          </w:tcPr>
          <w:p/>
        </w:tc>
        <w:tc>
          <w:tcPr>
            <w:tcW w:type="dxa" w:w="1661"/>
          </w:tcPr>
          <w:p>
            <w:pPr>
              <w:pStyle w:val="null3"/>
              <w:jc w:val="left"/>
            </w:pPr>
            <w:r>
              <w:rPr/>
              <w:t>售后服务方案</w:t>
            </w:r>
          </w:p>
        </w:tc>
        <w:tc>
          <w:tcPr>
            <w:tcW w:type="dxa" w:w="2575"/>
          </w:tcPr>
          <w:p>
            <w:pPr>
              <w:pStyle w:val="null3"/>
              <w:jc w:val="left"/>
            </w:pPr>
            <w:r>
              <w:rPr/>
              <w:t>根据投标人提供的售后服务方案（至少包括①售后服务管理制度及流程；②售后服务保障团队及人员分工；③售后服务质量保障、巡检、客户建档措施）进行评审：完全满足要求的得9分。每缺少一项扣3分；每项内容里存在瑕疵的，出现一处扣1.5分，每项最多扣3分，扣完为止。 瑕疵是指：①内容脱离项目背景、项目需求以及行业或市场的客观实际，或涉及的政策规范及标准错误；②技术及实施操作不符合行业规范；③套用其它项目方案；④内容前后矛盾、存在歧义或逻辑错误；⑤仅有理论或概述，没有具体的操作措施和方法；⑥不满足项目采购要求，达不到项目服务标准。</w:t>
            </w:r>
          </w:p>
        </w:tc>
        <w:tc>
          <w:tcPr>
            <w:tcW w:type="dxa" w:w="831"/>
          </w:tcPr>
          <w:p>
            <w:pPr>
              <w:pStyle w:val="null3"/>
              <w:jc w:val="center"/>
            </w:pPr>
            <w:r>
              <w:rPr/>
              <w:t>9.00</w:t>
            </w:r>
          </w:p>
        </w:tc>
        <w:tc>
          <w:tcPr>
            <w:tcW w:type="dxa" w:w="748"/>
          </w:tcPr>
          <w:p>
            <w:pPr>
              <w:pStyle w:val="null3"/>
              <w:jc w:val="center"/>
            </w:pPr>
            <w:r>
              <w:rPr/>
              <w:t>主观</w:t>
            </w:r>
          </w:p>
        </w:tc>
        <w:tc>
          <w:tcPr>
            <w:tcW w:type="dxa" w:w="1661"/>
          </w:tcPr>
          <w:p>
            <w:pPr>
              <w:pStyle w:val="null3"/>
              <w:jc w:val="left"/>
            </w:pPr>
            <w:r>
              <w:rPr/>
              <w:t>管理、技术、服务人员情况表</w:t>
            </w:r>
          </w:p>
          <w:p>
            <w:pPr>
              <w:pStyle w:val="null3"/>
              <w:jc w:val="left"/>
            </w:pPr>
            <w:r>
              <w:rPr/>
              <w:t>实施（服务）方案</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1、评审价格=投标报价。2、经价格调整后的评审价格=投标报价×（1-价格调整比例）3、基准价=经价格调整后评审价格的最低值。1. 经评标委员会评审，通过资格和符合性审查，且投标报价最低的投标人的投标报价作为评标基准价。2.投标报价得分=(评标基准价／投标报价)×分值。</w:t>
            </w:r>
          </w:p>
        </w:tc>
        <w:tc>
          <w:tcPr>
            <w:tcW w:type="dxa" w:w="831"/>
          </w:tcPr>
          <w:p>
            <w:pPr>
              <w:pStyle w:val="null3"/>
              <w:jc w:val="center"/>
            </w:pPr>
            <w:r>
              <w:rPr/>
              <w:t>30.00</w:t>
            </w:r>
          </w:p>
        </w:tc>
        <w:tc>
          <w:tcPr>
            <w:tcW w:type="dxa" w:w="748"/>
          </w:tcPr>
          <w:p>
            <w:pPr>
              <w:pStyle w:val="null3"/>
              <w:jc w:val="center"/>
            </w:pPr>
            <w:r>
              <w:rPr/>
              <w:t>客观</w:t>
            </w:r>
          </w:p>
        </w:tc>
        <w:tc>
          <w:tcPr>
            <w:tcW w:type="dxa" w:w="1661"/>
          </w:tcPr>
          <w:p>
            <w:pPr>
              <w:pStyle w:val="null3"/>
              <w:jc w:val="left"/>
            </w:pPr>
            <w:r>
              <w:rPr/>
              <w:t>报价一览表</w:t>
            </w:r>
          </w:p>
          <w:p>
            <w:pPr>
              <w:pStyle w:val="null3"/>
              <w:jc w:val="left"/>
            </w:pPr>
            <w:r>
              <w:rPr/>
              <w:t>报价明细表</w:t>
            </w:r>
          </w:p>
        </w:tc>
      </w:tr>
    </w:tbl>
    <w:p>
      <w:pPr>
        <w:pStyle w:val="null3"/>
        <w:jc w:val="left"/>
        <w:outlineLvl w:val="3"/>
      </w:pPr>
      <w:r>
        <w:rPr>
          <w:b/>
          <w:sz w:val="24"/>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价格扣除评审内容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扣除比例%（C1）</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10.00%</w:t>
            </w:r>
          </w:p>
        </w:tc>
        <w:tc>
          <w:tcPr>
            <w:tcW w:type="dxa" w:w="1661"/>
          </w:tcPr>
          <w:p>
            <w:pPr>
              <w:pStyle w:val="null3"/>
              <w:jc w:val="left"/>
            </w:pPr>
            <w:r>
              <w:rPr/>
              <w:t>价格扣除计算公式：评审价=投标报价×（1-价格扣除比例）；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报价一览表 中小企业声明函 残疾人福利性单位声明函 报价明细表 监狱企业的证明文件</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价格扣除评审内容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扣除比例%（C1）</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10.00%</w:t>
            </w:r>
          </w:p>
        </w:tc>
        <w:tc>
          <w:tcPr>
            <w:tcW w:type="dxa" w:w="1661"/>
          </w:tcPr>
          <w:p>
            <w:pPr>
              <w:pStyle w:val="null3"/>
              <w:jc w:val="left"/>
            </w:pPr>
            <w:r>
              <w:rPr/>
              <w:t>价格扣除计算公式：评审价=投标报价×（1-价格扣除比例）；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报价一览表 中小企业声明函 残疾人福利性单位声明函 报价明细表 监狱企业的证明文件</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8306"/>
            <w:gridSpan w:val="4"/>
          </w:tcPr>
          <w:p>
            <w:pPr>
              <w:pStyle w:val="null3"/>
              <w:jc w:val="left"/>
            </w:pPr>
            <w:r>
              <w:rPr/>
              <w:t>无</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8306"/>
            <w:gridSpan w:val="4"/>
          </w:tcPr>
          <w:p>
            <w:pPr>
              <w:pStyle w:val="null3"/>
              <w:jc w:val="left"/>
            </w:pPr>
            <w:r>
              <w:rPr/>
              <w:t>无</w:t>
            </w:r>
          </w:p>
        </w:tc>
      </w:tr>
    </w:tbl>
    <w:p>
      <w:pPr>
        <w:pStyle w:val="null3"/>
        <w:jc w:val="left"/>
        <w:outlineLvl w:val="2"/>
      </w:pPr>
      <w:r>
        <w:rPr>
          <w:b/>
          <w:sz w:val="28"/>
        </w:rPr>
        <w:t>5.5.废标</w:t>
      </w:r>
    </w:p>
    <w:p>
      <w:pPr>
        <w:pStyle w:val="null3"/>
        <w:ind w:firstLine="480"/>
        <w:jc w:val="left"/>
      </w:pPr>
      <w:r>
        <w:rPr/>
        <w:t>本次政府采购活动中，出现下列情形之一的，予以废标：</w:t>
      </w:r>
    </w:p>
    <w:p>
      <w:pPr>
        <w:pStyle w:val="null3"/>
        <w:ind w:firstLine="480"/>
        <w:jc w:val="left"/>
      </w:pPr>
      <w:r>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t>二、出现影响采购公正的违法、违规行为的；</w:t>
      </w:r>
    </w:p>
    <w:p>
      <w:pPr>
        <w:pStyle w:val="null3"/>
        <w:ind w:firstLine="480"/>
        <w:jc w:val="left"/>
      </w:pPr>
      <w:r>
        <w:rPr/>
        <w:t>三、投标人的报价均超过了采购预算，采购人不能支付的；</w:t>
      </w:r>
    </w:p>
    <w:p>
      <w:pPr>
        <w:pStyle w:val="null3"/>
        <w:ind w:firstLine="480"/>
        <w:jc w:val="left"/>
      </w:pPr>
      <w:r>
        <w:rPr/>
        <w:t>四、因重大变故，采购任务取消的；</w:t>
      </w:r>
    </w:p>
    <w:p>
      <w:pPr>
        <w:pStyle w:val="null3"/>
        <w:ind w:firstLine="480"/>
        <w:jc w:val="left"/>
      </w:pPr>
      <w:r>
        <w:rPr/>
        <w:t>废标后，代理机构将在四川政府采购网上公告。</w:t>
      </w:r>
    </w:p>
    <w:p>
      <w:pPr>
        <w:pStyle w:val="null3"/>
        <w:jc w:val="left"/>
        <w:outlineLvl w:val="2"/>
      </w:pPr>
      <w:r>
        <w:rPr>
          <w:b/>
          <w:sz w:val="28"/>
        </w:rPr>
        <w:t>5.6.定标</w:t>
      </w:r>
    </w:p>
    <w:p>
      <w:pPr>
        <w:pStyle w:val="null3"/>
        <w:jc w:val="left"/>
      </w:pPr>
      <w:r>
        <w:rPr/>
        <w:t>采购人在评标报告确定的中标候选人名单中按顺序确定中标人。</w:t>
      </w:r>
    </w:p>
    <w:p>
      <w:pPr>
        <w:pStyle w:val="null3"/>
        <w:jc w:val="left"/>
      </w:pPr>
      <w:r>
        <w:rPr/>
        <w:t>一、评标委员会在交易系统中编制评标情况，生成评标报告。</w:t>
      </w:r>
    </w:p>
    <w:p>
      <w:pPr>
        <w:pStyle w:val="null3"/>
        <w:jc w:val="left"/>
      </w:pPr>
      <w:r>
        <w:rPr/>
        <w:t>二、代理机构应当在评标结束后2个工作日内将评标报告送采购人。</w:t>
      </w:r>
    </w:p>
    <w:p>
      <w:pPr>
        <w:pStyle w:val="null3"/>
        <w:jc w:val="left"/>
      </w:pPr>
      <w:r>
        <w:rPr/>
        <w:t>三、采购人在收到评标报告5个工作日内，未按评标报告推荐的中标候选人顺序确定中标人，又不能说明合法理由的，视同按评标报告推荐的顺序确定排名第一的中标候选人为中标人。</w:t>
      </w:r>
    </w:p>
    <w:p>
      <w:pPr>
        <w:pStyle w:val="null3"/>
        <w:jc w:val="left"/>
      </w:pPr>
      <w:r>
        <w:rPr/>
        <w:t>四、采购人或者代理机构应当自中标人确定之日起 2 个工作日内，在四川政府采购网上公告中标结果，招标文件应当随中标结果同时公告。</w:t>
      </w:r>
    </w:p>
    <w:p>
      <w:pPr>
        <w:pStyle w:val="null3"/>
        <w:jc w:val="left"/>
        <w:outlineLvl w:val="2"/>
      </w:pPr>
      <w:r>
        <w:rPr>
          <w:b/>
          <w:sz w:val="28"/>
        </w:rPr>
        <w:t>5.7.评标委员会义务</w:t>
      </w:r>
    </w:p>
    <w:p>
      <w:pPr>
        <w:pStyle w:val="null3"/>
        <w:ind w:firstLine="480"/>
        <w:jc w:val="left"/>
      </w:pPr>
      <w:r>
        <w:rPr/>
        <w:t>评标委员会在政府采购活动中应当履行下列义务：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二、按照客观、公正、审慎的原则，根据招标文件规定的评审程序、评审方法和评审标准进行独立评审；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5.8.评标委员会成员工作纪律</w:t>
      </w:r>
    </w:p>
    <w:p>
      <w:pPr>
        <w:pStyle w:val="null3"/>
        <w:ind w:firstLine="480"/>
        <w:jc w:val="left"/>
      </w:pPr>
      <w:r>
        <w:rPr/>
        <w:t>评标委员会成员在政府采购活动中应当遵守以下工作纪律：</w:t>
      </w:r>
    </w:p>
    <w:p>
      <w:pPr>
        <w:pStyle w:val="null3"/>
        <w:ind w:firstLine="480"/>
        <w:jc w:val="left"/>
      </w:pPr>
      <w:r>
        <w:rPr/>
        <w:t>一、严格遵守政府采购法律制度关于评标委员会成员回避的规定。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七、遵守有关廉洁自律规定，不得私下接触投标人，不得收受投标人及有关业务单位和个人的财物或好处，不得接受采购人、代理机构的请托。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投标文件格式</w:t>
      </w:r>
    </w:p>
    <w:p>
      <w:pPr>
        <w:pStyle w:val="null3"/>
        <w:jc w:val="left"/>
      </w:pPr>
      <w:r>
        <w:rPr/>
        <w:t>采购包1：</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详见附件：投标人提交的相关资格证明材料</w:t>
      </w:r>
    </w:p>
    <w:p>
      <w:pPr>
        <w:pStyle w:val="null3"/>
        <w:ind w:firstLine="960"/>
        <w:jc w:val="left"/>
      </w:pPr>
      <w:r>
        <w:rPr/>
        <w:t>详见附件：产品技术参数响应表</w:t>
      </w:r>
    </w:p>
    <w:p>
      <w:pPr>
        <w:pStyle w:val="null3"/>
        <w:ind w:firstLine="960"/>
        <w:jc w:val="left"/>
      </w:pPr>
      <w:r>
        <w:rPr/>
        <w:t>详见附件：商务应答表</w:t>
      </w:r>
    </w:p>
    <w:p>
      <w:pPr>
        <w:pStyle w:val="null3"/>
        <w:ind w:firstLine="960"/>
        <w:jc w:val="left"/>
      </w:pPr>
      <w:r>
        <w:rPr/>
        <w:t>详见附件：报价一览表</w:t>
      </w:r>
    </w:p>
    <w:p>
      <w:pPr>
        <w:pStyle w:val="null3"/>
        <w:ind w:firstLine="960"/>
        <w:jc w:val="left"/>
      </w:pPr>
      <w:r>
        <w:rPr/>
        <w:t>详见附件：报价明细表</w:t>
      </w:r>
    </w:p>
    <w:p>
      <w:pPr>
        <w:pStyle w:val="null3"/>
        <w:ind w:firstLine="960"/>
        <w:jc w:val="left"/>
      </w:pPr>
      <w:r>
        <w:rPr/>
        <w:t>详见附件：管理、技术、服务人员情况表</w:t>
      </w:r>
    </w:p>
    <w:p>
      <w:pPr>
        <w:pStyle w:val="null3"/>
        <w:ind w:firstLine="960"/>
        <w:jc w:val="left"/>
      </w:pPr>
      <w:r>
        <w:rPr/>
        <w:t>详见附件：实施（服务）方案</w:t>
      </w:r>
    </w:p>
    <w:p>
      <w:pPr>
        <w:pStyle w:val="null3"/>
        <w:ind w:firstLine="960"/>
        <w:jc w:val="left"/>
      </w:pPr>
      <w:r>
        <w:rPr/>
        <w:t>详见附件：投标人类似业绩一览表</w:t>
      </w:r>
    </w:p>
    <w:p>
      <w:pPr>
        <w:pStyle w:val="null3"/>
        <w:ind w:firstLine="960"/>
        <w:jc w:val="left"/>
      </w:pPr>
      <w:r>
        <w:rPr/>
        <w:t>详见附件：营业执照</w:t>
      </w:r>
    </w:p>
    <w:p>
      <w:pPr>
        <w:pStyle w:val="null3"/>
        <w:ind w:firstLine="960"/>
        <w:jc w:val="left"/>
      </w:pPr>
      <w:r>
        <w:rPr/>
        <w:t>详见附件：资质及其他相关证明材料</w:t>
      </w:r>
    </w:p>
    <w:p>
      <w:pPr>
        <w:pStyle w:val="null3"/>
        <w:jc w:val="left"/>
      </w:pPr>
      <w:r>
        <w:rPr/>
        <w:t>采购包2：</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详见附件：投标人提交的相关资格证明材料</w:t>
      </w:r>
    </w:p>
    <w:p>
      <w:pPr>
        <w:pStyle w:val="null3"/>
        <w:ind w:firstLine="960"/>
        <w:jc w:val="left"/>
      </w:pPr>
      <w:r>
        <w:rPr/>
        <w:t>详见附件：产品技术参数响应表</w:t>
      </w:r>
    </w:p>
    <w:p>
      <w:pPr>
        <w:pStyle w:val="null3"/>
        <w:ind w:firstLine="960"/>
        <w:jc w:val="left"/>
      </w:pPr>
      <w:r>
        <w:rPr/>
        <w:t>详见附件：商务应答表</w:t>
      </w:r>
    </w:p>
    <w:p>
      <w:pPr>
        <w:pStyle w:val="null3"/>
        <w:ind w:firstLine="960"/>
        <w:jc w:val="left"/>
      </w:pPr>
      <w:r>
        <w:rPr/>
        <w:t>详见附件：报价一览表</w:t>
      </w:r>
    </w:p>
    <w:p>
      <w:pPr>
        <w:pStyle w:val="null3"/>
        <w:ind w:firstLine="960"/>
        <w:jc w:val="left"/>
      </w:pPr>
      <w:r>
        <w:rPr/>
        <w:t>详见附件：报价明细表</w:t>
      </w:r>
    </w:p>
    <w:p>
      <w:pPr>
        <w:pStyle w:val="null3"/>
        <w:ind w:firstLine="960"/>
        <w:jc w:val="left"/>
      </w:pPr>
      <w:r>
        <w:rPr/>
        <w:t>详见附件：管理、技术、服务人员情况表</w:t>
      </w:r>
    </w:p>
    <w:p>
      <w:pPr>
        <w:pStyle w:val="null3"/>
        <w:ind w:firstLine="960"/>
        <w:jc w:val="left"/>
      </w:pPr>
      <w:r>
        <w:rPr/>
        <w:t>详见附件：实施（服务）方案</w:t>
      </w:r>
    </w:p>
    <w:p>
      <w:pPr>
        <w:pStyle w:val="null3"/>
        <w:ind w:firstLine="960"/>
        <w:jc w:val="left"/>
      </w:pPr>
      <w:r>
        <w:rPr/>
        <w:t>详见附件：投标人类似业绩一览表</w:t>
      </w:r>
    </w:p>
    <w:p>
      <w:pPr>
        <w:pStyle w:val="null3"/>
        <w:ind w:firstLine="960"/>
        <w:jc w:val="left"/>
      </w:pPr>
      <w:r>
        <w:rPr/>
        <w:t>详见附件：资质及其他相关证明材料</w:t>
      </w:r>
    </w:p>
    <w:p>
      <w:pPr>
        <w:pStyle w:val="null3"/>
        <w:ind w:firstLine="960"/>
        <w:jc w:val="left"/>
      </w:pPr>
      <w:r>
        <w:rPr/>
        <w:t>详见附件：营业执照</w:t>
      </w:r>
    </w:p>
    <w:p>
      <w:pPr>
        <w:pStyle w:val="null3"/>
      </w:pPr>
      <w:r>
        <w:rPr/>
        <w:t xml:space="preserve"> </w:t>
        <w:br/>
        <w:br w:type="page"/>
      </w:r>
    </w:p>
    <w:p>
      <w:pPr>
        <w:pStyle w:val="null3"/>
        <w:jc w:val="center"/>
        <w:outlineLvl w:val="1"/>
      </w:pPr>
      <w:r>
        <w:rPr>
          <w:b/>
          <w:sz w:val="36"/>
        </w:rPr>
        <w:t>第七章 拟签订合同文本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《采购文件》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