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bidi w:val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八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人民医</w:t>
      </w:r>
      <w:r>
        <w:rPr>
          <w:rStyle w:val="5"/>
          <w:rFonts w:hint="eastAsia" w:ascii="仿宋_GB2312" w:hAnsi="仿宋_GB2312" w:eastAsia="仿宋_GB2312" w:cs="仿宋_GB2312"/>
          <w:color w:val="auto"/>
          <w:sz w:val="44"/>
          <w:szCs w:val="44"/>
          <w:shd w:val="clear" w:color="auto" w:fill="FFFFFF"/>
        </w:rPr>
        <w:t>二次供水水箱清洗及水质检测服务项目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page" w:horzAnchor="page" w:tblpX="970" w:tblpY="4713"/>
        <w:tblW w:w="102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90"/>
        <w:gridCol w:w="2134"/>
        <w:gridCol w:w="1305"/>
        <w:gridCol w:w="2256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44"/>
          <w:szCs w:val="44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2024-06-19T06:31:50Z</dcterms:created>
  <dc:creator>SSDD0000</dc:creator>
  <cp:lastModifiedBy>SSDD0000</cp:lastModifiedBy>
  <dcterms:modified xsi:type="dcterms:W3CDTF">2024-06-19T06:32:31Z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